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9199" w14:textId="0521B067" w:rsidR="00257D51" w:rsidRDefault="00D105EA">
      <w:r>
        <w:rPr>
          <w:noProof/>
        </w:rPr>
        <w:drawing>
          <wp:anchor distT="0" distB="0" distL="114300" distR="114300" simplePos="0" relativeHeight="251680768" behindDoc="1" locked="0" layoutInCell="1" allowOverlap="1" wp14:anchorId="1E6CC179" wp14:editId="28CE392D">
            <wp:simplePos x="0" y="0"/>
            <wp:positionH relativeFrom="column">
              <wp:posOffset>-1070407</wp:posOffset>
            </wp:positionH>
            <wp:positionV relativeFrom="paragraph">
              <wp:posOffset>-890067</wp:posOffset>
            </wp:positionV>
            <wp:extent cx="7783896" cy="10073278"/>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3896" cy="10073278"/>
                    </a:xfrm>
                    <a:prstGeom prst="rect">
                      <a:avLst/>
                    </a:prstGeom>
                  </pic:spPr>
                </pic:pic>
              </a:graphicData>
            </a:graphic>
            <wp14:sizeRelH relativeFrom="page">
              <wp14:pctWidth>0</wp14:pctWidth>
            </wp14:sizeRelH>
            <wp14:sizeRelV relativeFrom="page">
              <wp14:pctHeight>0</wp14:pctHeight>
            </wp14:sizeRelV>
          </wp:anchor>
        </w:drawing>
      </w:r>
    </w:p>
    <w:p w14:paraId="671E7312" w14:textId="1AA548E2" w:rsidR="00257D51" w:rsidRPr="00257D51" w:rsidRDefault="00257D51" w:rsidP="00257D51"/>
    <w:p w14:paraId="1631673D" w14:textId="16DCA367" w:rsidR="00257D51" w:rsidRPr="00257D51" w:rsidRDefault="00257D51" w:rsidP="00257D51"/>
    <w:p w14:paraId="00523FA5" w14:textId="53948E3E" w:rsidR="00257D51" w:rsidRPr="00257D51" w:rsidRDefault="00257D51" w:rsidP="00257D51"/>
    <w:p w14:paraId="6E603E0F" w14:textId="017AFF93" w:rsidR="00257D51" w:rsidRPr="00257D51" w:rsidRDefault="00257D51" w:rsidP="00257D51"/>
    <w:p w14:paraId="7D39AA3A" w14:textId="173E23CD" w:rsidR="00257D51" w:rsidRPr="00257D51" w:rsidRDefault="00257D51" w:rsidP="00257D51"/>
    <w:p w14:paraId="28446723" w14:textId="1C41158A" w:rsidR="00257D51" w:rsidRPr="00257D51" w:rsidRDefault="00257D51" w:rsidP="00257D51"/>
    <w:p w14:paraId="63356B20" w14:textId="0E7D944C" w:rsidR="00257D51" w:rsidRPr="00257D51" w:rsidRDefault="00257D51" w:rsidP="00257D51"/>
    <w:p w14:paraId="135B9A6C" w14:textId="0ADA154E" w:rsidR="00257D51" w:rsidRPr="00257D51" w:rsidRDefault="00257D51" w:rsidP="00257D51"/>
    <w:p w14:paraId="3C3FD503" w14:textId="5EEEA4CC" w:rsidR="00257D51" w:rsidRPr="00257D51" w:rsidRDefault="00257D51" w:rsidP="00257D51"/>
    <w:p w14:paraId="77DB9B45" w14:textId="77777777" w:rsidR="00257D51" w:rsidRPr="00257D51" w:rsidRDefault="00257D51" w:rsidP="00257D51"/>
    <w:p w14:paraId="3EE09556" w14:textId="3CBB7C4D" w:rsidR="00257D51" w:rsidRPr="00257D51" w:rsidRDefault="00257D51" w:rsidP="00257D51"/>
    <w:p w14:paraId="48CDD40A" w14:textId="1738D730" w:rsidR="00257D51" w:rsidRPr="00257D51" w:rsidRDefault="00257D51" w:rsidP="00257D51"/>
    <w:p w14:paraId="1B4C6EA2" w14:textId="4AF99F63" w:rsidR="00257D51" w:rsidRPr="00257D51" w:rsidRDefault="00257D51" w:rsidP="00257D51">
      <w:r>
        <w:rPr>
          <w:rFonts w:cs="Times New Roman"/>
          <w:noProof/>
          <w:lang w:eastAsia="es-GT"/>
        </w:rPr>
        <w:drawing>
          <wp:anchor distT="0" distB="0" distL="114300" distR="114300" simplePos="0" relativeHeight="251663360" behindDoc="1" locked="0" layoutInCell="1" allowOverlap="1" wp14:anchorId="14FE411F" wp14:editId="575BF41D">
            <wp:simplePos x="0" y="0"/>
            <wp:positionH relativeFrom="column">
              <wp:posOffset>-1213485</wp:posOffset>
            </wp:positionH>
            <wp:positionV relativeFrom="paragraph">
              <wp:posOffset>4947920</wp:posOffset>
            </wp:positionV>
            <wp:extent cx="5777948" cy="202077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7948" cy="2020778"/>
                    </a:xfrm>
                    <a:prstGeom prst="rect">
                      <a:avLst/>
                    </a:prstGeom>
                  </pic:spPr>
                </pic:pic>
              </a:graphicData>
            </a:graphic>
          </wp:anchor>
        </w:drawing>
      </w:r>
    </w:p>
    <w:p w14:paraId="5E3CFF03" w14:textId="77777777" w:rsidR="00257D51" w:rsidRPr="00257D51" w:rsidRDefault="00257D51" w:rsidP="00257D51"/>
    <w:p w14:paraId="650FFED6" w14:textId="3DAA54B2" w:rsidR="00257D51" w:rsidRDefault="00257D51" w:rsidP="00257D51"/>
    <w:p w14:paraId="31B05566" w14:textId="738C40D3" w:rsidR="00257D51" w:rsidRDefault="00257D51" w:rsidP="00257D51"/>
    <w:p w14:paraId="54C8F4FB" w14:textId="7A816746" w:rsidR="002A12FD" w:rsidRDefault="00257D51" w:rsidP="00257D51">
      <w:pPr>
        <w:tabs>
          <w:tab w:val="left" w:pos="1589"/>
        </w:tabs>
      </w:pPr>
      <w:r>
        <w:tab/>
      </w:r>
    </w:p>
    <w:p w14:paraId="3C6B339A" w14:textId="34317F08" w:rsidR="002A12FD" w:rsidRDefault="002A12FD" w:rsidP="00257D51">
      <w:pPr>
        <w:tabs>
          <w:tab w:val="left" w:pos="1589"/>
        </w:tabs>
      </w:pPr>
    </w:p>
    <w:p w14:paraId="77A75C6E" w14:textId="02E840D5" w:rsidR="002A12FD" w:rsidRDefault="002A12FD" w:rsidP="00257D51">
      <w:pPr>
        <w:tabs>
          <w:tab w:val="left" w:pos="1589"/>
        </w:tabs>
      </w:pPr>
    </w:p>
    <w:p w14:paraId="6A91DEB8" w14:textId="3C851311" w:rsidR="002A12FD" w:rsidRDefault="002A12FD" w:rsidP="00257D51">
      <w:pPr>
        <w:tabs>
          <w:tab w:val="left" w:pos="1589"/>
        </w:tabs>
      </w:pPr>
    </w:p>
    <w:p w14:paraId="791A354C" w14:textId="583941ED" w:rsidR="002A12FD" w:rsidRDefault="00876C72" w:rsidP="00257D51">
      <w:pPr>
        <w:tabs>
          <w:tab w:val="left" w:pos="1589"/>
        </w:tabs>
      </w:pPr>
      <w:r>
        <w:rPr>
          <w:noProof/>
          <w:lang w:eastAsia="es-GT"/>
        </w:rPr>
        <mc:AlternateContent>
          <mc:Choice Requires="wps">
            <w:drawing>
              <wp:anchor distT="0" distB="0" distL="114300" distR="114300" simplePos="0" relativeHeight="251673600" behindDoc="0" locked="0" layoutInCell="1" allowOverlap="1" wp14:anchorId="49B1F14A" wp14:editId="13E2998E">
                <wp:simplePos x="0" y="0"/>
                <wp:positionH relativeFrom="column">
                  <wp:posOffset>1652338</wp:posOffset>
                </wp:positionH>
                <wp:positionV relativeFrom="paragraph">
                  <wp:posOffset>47436</wp:posOffset>
                </wp:positionV>
                <wp:extent cx="4532522" cy="1361872"/>
                <wp:effectExtent l="0" t="0" r="0" b="0"/>
                <wp:wrapNone/>
                <wp:docPr id="9"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2522" cy="1361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1F8AE" w14:textId="577EFE47" w:rsidR="00F34DE9" w:rsidRPr="00286131" w:rsidRDefault="00F34DE9" w:rsidP="00D105EA">
                            <w:pPr>
                              <w:spacing w:after="0" w:line="540" w:lineRule="exact"/>
                              <w:jc w:val="right"/>
                              <w:rPr>
                                <w:rFonts w:ascii="Calibri" w:hAnsi="Calibri" w:cs="Calibri"/>
                                <w:b/>
                                <w:color w:val="1F497D" w:themeColor="text2"/>
                                <w:sz w:val="60"/>
                                <w:szCs w:val="60"/>
                              </w:rPr>
                            </w:pPr>
                            <w:r w:rsidRPr="00286131">
                              <w:rPr>
                                <w:rFonts w:ascii="Calibri" w:hAnsi="Calibri" w:cs="Calibri"/>
                                <w:b/>
                                <w:color w:val="1F497D" w:themeColor="text2"/>
                                <w:sz w:val="60"/>
                                <w:szCs w:val="60"/>
                              </w:rPr>
                              <w:t>INFORME DE RENDICI</w:t>
                            </w:r>
                            <w:r w:rsidR="00286131">
                              <w:rPr>
                                <w:rFonts w:ascii="Calibri" w:hAnsi="Calibri" w:cs="Calibri"/>
                                <w:b/>
                                <w:color w:val="1F497D" w:themeColor="text2"/>
                                <w:sz w:val="60"/>
                                <w:szCs w:val="60"/>
                              </w:rPr>
                              <w:t>Ó</w:t>
                            </w:r>
                            <w:r w:rsidRPr="00286131">
                              <w:rPr>
                                <w:rFonts w:ascii="Calibri" w:hAnsi="Calibri" w:cs="Calibri"/>
                                <w:b/>
                                <w:color w:val="1F497D" w:themeColor="text2"/>
                                <w:sz w:val="60"/>
                                <w:szCs w:val="60"/>
                              </w:rPr>
                              <w:t>N DE CUENTAS</w:t>
                            </w:r>
                          </w:p>
                          <w:p w14:paraId="7C9DEA5F" w14:textId="77777777" w:rsidR="00F34DE9" w:rsidRPr="00286131" w:rsidRDefault="00EE335E" w:rsidP="00D105EA">
                            <w:pPr>
                              <w:spacing w:after="0" w:line="540" w:lineRule="exact"/>
                              <w:jc w:val="right"/>
                              <w:rPr>
                                <w:rFonts w:ascii="Calibri" w:hAnsi="Calibri" w:cs="Calibri"/>
                                <w:bCs/>
                                <w:color w:val="1F497D" w:themeColor="text2"/>
                                <w:sz w:val="42"/>
                                <w:szCs w:val="42"/>
                              </w:rPr>
                            </w:pPr>
                            <w:r w:rsidRPr="00286131">
                              <w:rPr>
                                <w:rFonts w:ascii="Calibri" w:hAnsi="Calibri" w:cs="Calibri"/>
                                <w:bCs/>
                                <w:color w:val="1F497D" w:themeColor="text2"/>
                                <w:sz w:val="42"/>
                                <w:szCs w:val="42"/>
                              </w:rPr>
                              <w:t>TERCER</w:t>
                            </w:r>
                            <w:r w:rsidR="00F34DE9" w:rsidRPr="00286131">
                              <w:rPr>
                                <w:rFonts w:ascii="Calibri" w:hAnsi="Calibri" w:cs="Calibri"/>
                                <w:bCs/>
                                <w:color w:val="1F497D" w:themeColor="text2"/>
                                <w:sz w:val="42"/>
                                <w:szCs w:val="42"/>
                              </w:rPr>
                              <w:t xml:space="preserve"> CUATRIMESTRE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1F14A" id="_x0000_t202" coordsize="21600,21600" o:spt="202" path="m,l,21600r21600,l21600,xe">
                <v:stroke joinstyle="miter"/>
                <v:path gradientshapeok="t" o:connecttype="rect"/>
              </v:shapetype>
              <v:shape id="9 Cuadro de texto" o:spid="_x0000_s1026" type="#_x0000_t202" style="position:absolute;margin-left:130.1pt;margin-top:3.75pt;width:356.9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" filled="f" stroked="f" strokeweight=".5pt">
                <v:textbox>
                  <w:txbxContent>
                    <w:p w14:paraId="2EB1F8AE" w14:textId="577EFE47" w:rsidR="00F34DE9" w:rsidRPr="00286131" w:rsidRDefault="00F34DE9" w:rsidP="00D105EA">
                      <w:pPr>
                        <w:spacing w:after="0" w:line="540" w:lineRule="exact"/>
                        <w:jc w:val="right"/>
                        <w:rPr>
                          <w:rFonts w:ascii="Calibri" w:hAnsi="Calibri" w:cs="Calibri"/>
                          <w:b/>
                          <w:color w:val="1F497D" w:themeColor="text2"/>
                          <w:sz w:val="60"/>
                          <w:szCs w:val="60"/>
                        </w:rPr>
                      </w:pPr>
                      <w:r w:rsidRPr="00286131">
                        <w:rPr>
                          <w:rFonts w:ascii="Calibri" w:hAnsi="Calibri" w:cs="Calibri"/>
                          <w:b/>
                          <w:color w:val="1F497D" w:themeColor="text2"/>
                          <w:sz w:val="60"/>
                          <w:szCs w:val="60"/>
                        </w:rPr>
                        <w:t>INFORME DE RENDICI</w:t>
                      </w:r>
                      <w:r w:rsidR="00286131">
                        <w:rPr>
                          <w:rFonts w:ascii="Calibri" w:hAnsi="Calibri" w:cs="Calibri"/>
                          <w:b/>
                          <w:color w:val="1F497D" w:themeColor="text2"/>
                          <w:sz w:val="60"/>
                          <w:szCs w:val="60"/>
                        </w:rPr>
                        <w:t>Ó</w:t>
                      </w:r>
                      <w:r w:rsidRPr="00286131">
                        <w:rPr>
                          <w:rFonts w:ascii="Calibri" w:hAnsi="Calibri" w:cs="Calibri"/>
                          <w:b/>
                          <w:color w:val="1F497D" w:themeColor="text2"/>
                          <w:sz w:val="60"/>
                          <w:szCs w:val="60"/>
                        </w:rPr>
                        <w:t>N DE CUENTAS</w:t>
                      </w:r>
                    </w:p>
                    <w:p w14:paraId="7C9DEA5F" w14:textId="77777777" w:rsidR="00F34DE9" w:rsidRPr="00286131" w:rsidRDefault="00EE335E" w:rsidP="00D105EA">
                      <w:pPr>
                        <w:spacing w:after="0" w:line="540" w:lineRule="exact"/>
                        <w:jc w:val="right"/>
                        <w:rPr>
                          <w:rFonts w:ascii="Calibri" w:hAnsi="Calibri" w:cs="Calibri"/>
                          <w:bCs/>
                          <w:color w:val="1F497D" w:themeColor="text2"/>
                          <w:sz w:val="42"/>
                          <w:szCs w:val="42"/>
                        </w:rPr>
                      </w:pPr>
                      <w:r w:rsidRPr="00286131">
                        <w:rPr>
                          <w:rFonts w:ascii="Calibri" w:hAnsi="Calibri" w:cs="Calibri"/>
                          <w:bCs/>
                          <w:color w:val="1F497D" w:themeColor="text2"/>
                          <w:sz w:val="42"/>
                          <w:szCs w:val="42"/>
                        </w:rPr>
                        <w:t>TERCER</w:t>
                      </w:r>
                      <w:r w:rsidR="00F34DE9" w:rsidRPr="00286131">
                        <w:rPr>
                          <w:rFonts w:ascii="Calibri" w:hAnsi="Calibri" w:cs="Calibri"/>
                          <w:bCs/>
                          <w:color w:val="1F497D" w:themeColor="text2"/>
                          <w:sz w:val="42"/>
                          <w:szCs w:val="42"/>
                        </w:rPr>
                        <w:t xml:space="preserve"> CUATRIMESTRE 2021</w:t>
                      </w:r>
                    </w:p>
                  </w:txbxContent>
                </v:textbox>
              </v:shape>
            </w:pict>
          </mc:Fallback>
        </mc:AlternateContent>
      </w:r>
    </w:p>
    <w:p w14:paraId="7D7B997E" w14:textId="1AA2B8FD" w:rsidR="002A12FD" w:rsidRDefault="002A12FD" w:rsidP="00257D51">
      <w:pPr>
        <w:tabs>
          <w:tab w:val="left" w:pos="1589"/>
        </w:tabs>
      </w:pPr>
    </w:p>
    <w:p w14:paraId="09BC84C4" w14:textId="08D34160" w:rsidR="002A12FD" w:rsidRDefault="002A12FD" w:rsidP="00257D51">
      <w:pPr>
        <w:tabs>
          <w:tab w:val="left" w:pos="1589"/>
        </w:tabs>
      </w:pPr>
    </w:p>
    <w:p w14:paraId="203E0EC6" w14:textId="0340DABE" w:rsidR="002A12FD" w:rsidRDefault="002A12FD" w:rsidP="00257D51">
      <w:pPr>
        <w:tabs>
          <w:tab w:val="left" w:pos="1589"/>
        </w:tabs>
      </w:pPr>
    </w:p>
    <w:p w14:paraId="07C984EB" w14:textId="77777777" w:rsidR="0070356A" w:rsidRDefault="0070356A" w:rsidP="00257D51">
      <w:pPr>
        <w:tabs>
          <w:tab w:val="left" w:pos="1589"/>
        </w:tabs>
        <w:sectPr w:rsidR="0070356A">
          <w:pgSz w:w="12240" w:h="15840"/>
          <w:pgMar w:top="1417" w:right="1701" w:bottom="1417" w:left="1701" w:header="708" w:footer="708" w:gutter="0"/>
          <w:cols w:space="708"/>
          <w:docGrid w:linePitch="360"/>
        </w:sectPr>
      </w:pPr>
    </w:p>
    <w:p w14:paraId="58FCEDAE" w14:textId="2752FCFE" w:rsidR="00002692" w:rsidRPr="0010316D" w:rsidRDefault="00002692" w:rsidP="0010316D">
      <w:pPr>
        <w:spacing w:after="0" w:line="240" w:lineRule="auto"/>
        <w:rPr>
          <w:rFonts w:ascii="Calibri" w:hAnsi="Calibri" w:cs="Calibri"/>
          <w:b/>
          <w:color w:val="17365D" w:themeColor="text2" w:themeShade="BF"/>
          <w:sz w:val="24"/>
          <w:szCs w:val="24"/>
        </w:rPr>
      </w:pPr>
      <w:r w:rsidRPr="0010316D">
        <w:rPr>
          <w:rFonts w:ascii="Calibri" w:hAnsi="Calibri" w:cs="Calibri"/>
          <w:b/>
          <w:color w:val="17365D" w:themeColor="text2" w:themeShade="BF"/>
          <w:sz w:val="24"/>
          <w:szCs w:val="24"/>
        </w:rPr>
        <w:lastRenderedPageBreak/>
        <w:t>Ministerio de Finanzas Públicas</w:t>
      </w:r>
    </w:p>
    <w:p w14:paraId="7A3722E5" w14:textId="77777777" w:rsidR="00002692" w:rsidRPr="006F0AEC" w:rsidRDefault="00002692" w:rsidP="0010316D">
      <w:pPr>
        <w:spacing w:after="0" w:line="240" w:lineRule="auto"/>
        <w:rPr>
          <w:rFonts w:ascii="Calibri" w:hAnsi="Calibri" w:cs="Calibri"/>
          <w:b/>
          <w:color w:val="17365D" w:themeColor="text2" w:themeShade="BF"/>
          <w:sz w:val="36"/>
          <w:szCs w:val="36"/>
        </w:rPr>
      </w:pPr>
      <w:r w:rsidRPr="006F0AEC">
        <w:rPr>
          <w:rFonts w:ascii="Calibri" w:hAnsi="Calibri" w:cs="Calibri"/>
          <w:b/>
          <w:color w:val="17365D" w:themeColor="text2" w:themeShade="BF"/>
          <w:sz w:val="36"/>
          <w:szCs w:val="36"/>
        </w:rPr>
        <w:t>Informe Ejecutivo Rendición de Cuentas</w:t>
      </w:r>
    </w:p>
    <w:p w14:paraId="3042A09B" w14:textId="77777777" w:rsidR="00002692" w:rsidRPr="006F0AEC" w:rsidRDefault="00535DD8" w:rsidP="0010316D">
      <w:pPr>
        <w:spacing w:after="0" w:line="240" w:lineRule="auto"/>
        <w:rPr>
          <w:rFonts w:ascii="Calibri" w:hAnsi="Calibri" w:cs="Calibri"/>
          <w:bCs/>
          <w:color w:val="17365D" w:themeColor="text2" w:themeShade="BF"/>
          <w:sz w:val="30"/>
          <w:szCs w:val="30"/>
        </w:rPr>
      </w:pPr>
      <w:r w:rsidRPr="006F0AEC">
        <w:rPr>
          <w:rFonts w:ascii="Calibri" w:hAnsi="Calibri" w:cs="Calibri"/>
          <w:bCs/>
          <w:color w:val="17365D" w:themeColor="text2" w:themeShade="BF"/>
          <w:sz w:val="30"/>
          <w:szCs w:val="30"/>
        </w:rPr>
        <w:t>Tercer</w:t>
      </w:r>
      <w:r w:rsidR="00002692" w:rsidRPr="006F0AEC">
        <w:rPr>
          <w:rFonts w:ascii="Calibri" w:hAnsi="Calibri" w:cs="Calibri"/>
          <w:bCs/>
          <w:color w:val="17365D" w:themeColor="text2" w:themeShade="BF"/>
          <w:sz w:val="30"/>
          <w:szCs w:val="30"/>
        </w:rPr>
        <w:t xml:space="preserve"> cuatrimestre 2021</w:t>
      </w:r>
    </w:p>
    <w:p w14:paraId="07182611" w14:textId="77777777" w:rsidR="00002692" w:rsidRPr="006F0AEC" w:rsidRDefault="00002692" w:rsidP="0010316D">
      <w:pPr>
        <w:spacing w:after="0" w:line="240" w:lineRule="auto"/>
        <w:rPr>
          <w:rFonts w:ascii="Calibri" w:hAnsi="Calibri" w:cs="Calibri"/>
          <w:bCs/>
          <w:color w:val="17365D" w:themeColor="text2" w:themeShade="BF"/>
          <w:sz w:val="24"/>
          <w:szCs w:val="24"/>
        </w:rPr>
      </w:pPr>
      <w:r w:rsidRPr="006F0AEC">
        <w:rPr>
          <w:rFonts w:ascii="Calibri" w:hAnsi="Calibri" w:cs="Calibri"/>
          <w:bCs/>
          <w:color w:val="17365D" w:themeColor="text2" w:themeShade="BF"/>
          <w:sz w:val="24"/>
          <w:szCs w:val="24"/>
        </w:rPr>
        <w:t xml:space="preserve"> (Primer producto)</w:t>
      </w:r>
    </w:p>
    <w:p w14:paraId="4478FFCA" w14:textId="77777777" w:rsidR="00002692" w:rsidRDefault="00002692" w:rsidP="00002692">
      <w:pPr>
        <w:spacing w:after="0" w:line="240" w:lineRule="auto"/>
        <w:rPr>
          <w:rFonts w:ascii="Times New Roman" w:hAnsi="Times New Roman" w:cs="Times New Roman"/>
          <w:b/>
        </w:rPr>
      </w:pPr>
    </w:p>
    <w:p w14:paraId="70F9C943" w14:textId="704B6FB8" w:rsidR="00002692" w:rsidRPr="00023F7B" w:rsidRDefault="005E4098" w:rsidP="00F02AE3">
      <w:pPr>
        <w:shd w:val="clear" w:color="auto" w:fill="95B3D7" w:themeFill="accent1" w:themeFillTint="99"/>
        <w:spacing w:after="0" w:line="240" w:lineRule="auto"/>
        <w:rPr>
          <w:rFonts w:ascii="Calibri" w:hAnsi="Calibri" w:cs="Calibri"/>
          <w:b/>
          <w:color w:val="17365D" w:themeColor="text2" w:themeShade="BF"/>
          <w:sz w:val="32"/>
          <w:szCs w:val="32"/>
        </w:rPr>
      </w:pPr>
      <w:r>
        <w:rPr>
          <w:rFonts w:ascii="Calibri" w:hAnsi="Calibri" w:cs="Calibri"/>
          <w:b/>
          <w:color w:val="17365D" w:themeColor="text2" w:themeShade="BF"/>
          <w:sz w:val="32"/>
          <w:szCs w:val="32"/>
        </w:rPr>
        <w:t xml:space="preserve"> </w:t>
      </w:r>
      <w:r w:rsidR="00F02AE3" w:rsidRPr="00023F7B">
        <w:rPr>
          <w:rFonts w:ascii="Calibri" w:hAnsi="Calibri" w:cs="Calibri"/>
          <w:b/>
          <w:color w:val="17365D" w:themeColor="text2" w:themeShade="BF"/>
          <w:sz w:val="32"/>
          <w:szCs w:val="32"/>
        </w:rPr>
        <w:t>INTRODUCCIÓN</w:t>
      </w:r>
    </w:p>
    <w:p w14:paraId="39AB0A39" w14:textId="77777777" w:rsidR="00F02AE3" w:rsidRPr="0027682A" w:rsidRDefault="00F02AE3" w:rsidP="00002692">
      <w:pPr>
        <w:spacing w:after="0" w:line="240" w:lineRule="auto"/>
        <w:rPr>
          <w:rFonts w:ascii="Times New Roman" w:hAnsi="Times New Roman" w:cs="Times New Roman"/>
          <w:b/>
          <w:sz w:val="24"/>
          <w:szCs w:val="24"/>
        </w:rPr>
      </w:pPr>
    </w:p>
    <w:p w14:paraId="71B40259" w14:textId="77777777" w:rsidR="00DA3F54" w:rsidRPr="00445D22" w:rsidRDefault="00DA3F54" w:rsidP="00DA3F54">
      <w:pPr>
        <w:spacing w:after="0" w:line="240" w:lineRule="auto"/>
        <w:jc w:val="both"/>
        <w:rPr>
          <w:rFonts w:ascii="Calibri" w:hAnsi="Calibri" w:cs="Calibri"/>
          <w:sz w:val="24"/>
          <w:szCs w:val="24"/>
        </w:rPr>
      </w:pPr>
      <w:r w:rsidRPr="00445D22">
        <w:rPr>
          <w:rFonts w:ascii="Calibri" w:hAnsi="Calibri" w:cs="Calibri"/>
          <w:sz w:val="24"/>
          <w:szCs w:val="24"/>
        </w:rPr>
        <w:t xml:space="preserve">El </w:t>
      </w:r>
      <w:r w:rsidRPr="00445D22">
        <w:rPr>
          <w:rFonts w:ascii="Calibri" w:hAnsi="Calibri" w:cs="Calibri"/>
          <w:b/>
          <w:sz w:val="24"/>
          <w:szCs w:val="24"/>
        </w:rPr>
        <w:t>Informe sobre Rendición de Cuentas</w:t>
      </w:r>
      <w:r w:rsidRPr="00445D22">
        <w:rPr>
          <w:rFonts w:ascii="Calibri" w:hAnsi="Calibri" w:cs="Calibri"/>
          <w:sz w:val="24"/>
          <w:szCs w:val="24"/>
        </w:rPr>
        <w:t xml:space="preserve"> que en el Ministerio de Finanzas Públicas</w:t>
      </w:r>
      <w:r w:rsidR="00CD02E9" w:rsidRPr="00445D22">
        <w:rPr>
          <w:rFonts w:ascii="Calibri" w:hAnsi="Calibri" w:cs="Calibri"/>
          <w:sz w:val="24"/>
          <w:szCs w:val="24"/>
        </w:rPr>
        <w:t xml:space="preserve">           </w:t>
      </w:r>
      <w:r w:rsidRPr="00445D22">
        <w:rPr>
          <w:rFonts w:ascii="Calibri" w:hAnsi="Calibri" w:cs="Calibri"/>
          <w:sz w:val="24"/>
          <w:szCs w:val="24"/>
        </w:rPr>
        <w:t xml:space="preserve"> –</w:t>
      </w:r>
      <w:r w:rsidR="00204162" w:rsidRPr="00445D22">
        <w:rPr>
          <w:rFonts w:ascii="Calibri" w:hAnsi="Calibri" w:cs="Calibri"/>
          <w:sz w:val="24"/>
          <w:szCs w:val="24"/>
        </w:rPr>
        <w:t>MINFIN</w:t>
      </w:r>
      <w:r w:rsidRPr="00445D22">
        <w:rPr>
          <w:rFonts w:ascii="Calibri" w:hAnsi="Calibri" w:cs="Calibri"/>
          <w:sz w:val="24"/>
          <w:szCs w:val="24"/>
        </w:rPr>
        <w:t xml:space="preserve">- </w:t>
      </w:r>
      <w:r w:rsidR="005D23B0" w:rsidRPr="00445D22">
        <w:rPr>
          <w:rFonts w:ascii="Calibri" w:hAnsi="Calibri" w:cs="Calibri"/>
          <w:sz w:val="24"/>
          <w:szCs w:val="24"/>
        </w:rPr>
        <w:t xml:space="preserve">que en esta oportunidad </w:t>
      </w:r>
      <w:r w:rsidRPr="00445D22">
        <w:rPr>
          <w:rFonts w:ascii="Calibri" w:hAnsi="Calibri" w:cs="Calibri"/>
          <w:sz w:val="24"/>
          <w:szCs w:val="24"/>
        </w:rPr>
        <w:t xml:space="preserve">ha preparado, corresponde al </w:t>
      </w:r>
      <w:r w:rsidR="00535DD8" w:rsidRPr="00445D22">
        <w:rPr>
          <w:rFonts w:ascii="Calibri" w:hAnsi="Calibri" w:cs="Calibri"/>
          <w:sz w:val="24"/>
          <w:szCs w:val="24"/>
        </w:rPr>
        <w:t>tercer</w:t>
      </w:r>
      <w:r w:rsidRPr="00445D22">
        <w:rPr>
          <w:rFonts w:ascii="Calibri" w:hAnsi="Calibri" w:cs="Calibri"/>
          <w:sz w:val="24"/>
          <w:szCs w:val="24"/>
        </w:rPr>
        <w:t xml:space="preserve"> cuatrimestre del año 2021, </w:t>
      </w:r>
      <w:r w:rsidR="005D23B0" w:rsidRPr="00445D22">
        <w:rPr>
          <w:rFonts w:ascii="Calibri" w:hAnsi="Calibri" w:cs="Calibri"/>
          <w:sz w:val="24"/>
          <w:szCs w:val="24"/>
        </w:rPr>
        <w:t xml:space="preserve">donde se presentan </w:t>
      </w:r>
      <w:r w:rsidRPr="00445D22">
        <w:rPr>
          <w:rFonts w:ascii="Calibri" w:hAnsi="Calibri" w:cs="Calibri"/>
          <w:sz w:val="24"/>
          <w:szCs w:val="24"/>
        </w:rPr>
        <w:t xml:space="preserve">los principales logros y resultados alcanzados durante el período en referencia, </w:t>
      </w:r>
      <w:r w:rsidR="005D23B0" w:rsidRPr="00445D22">
        <w:rPr>
          <w:rFonts w:ascii="Calibri" w:hAnsi="Calibri" w:cs="Calibri"/>
          <w:sz w:val="24"/>
          <w:szCs w:val="24"/>
        </w:rPr>
        <w:t>a través d</w:t>
      </w:r>
      <w:r w:rsidRPr="00445D22">
        <w:rPr>
          <w:rFonts w:ascii="Calibri" w:hAnsi="Calibri" w:cs="Calibri"/>
          <w:sz w:val="24"/>
          <w:szCs w:val="24"/>
        </w:rPr>
        <w:t>el cual se busca dar respuesta al requerimiento solicitado por la Comisión Presidencial contra la Corrupción.</w:t>
      </w:r>
    </w:p>
    <w:p w14:paraId="21CB01C7" w14:textId="77777777" w:rsidR="00DA3F54" w:rsidRPr="00445D22" w:rsidRDefault="00DA3F54" w:rsidP="00DA3F54">
      <w:pPr>
        <w:spacing w:after="0" w:line="240" w:lineRule="auto"/>
        <w:jc w:val="both"/>
        <w:rPr>
          <w:rFonts w:ascii="Calibri" w:hAnsi="Calibri" w:cs="Calibri"/>
          <w:sz w:val="24"/>
          <w:szCs w:val="24"/>
        </w:rPr>
      </w:pPr>
    </w:p>
    <w:p w14:paraId="040FE313" w14:textId="77777777" w:rsidR="00F02AE3" w:rsidRPr="00445D22" w:rsidRDefault="00F02AE3" w:rsidP="00BC0C91">
      <w:pPr>
        <w:spacing w:after="0" w:line="240" w:lineRule="auto"/>
        <w:jc w:val="both"/>
        <w:rPr>
          <w:rFonts w:ascii="Calibri" w:hAnsi="Calibri" w:cs="Calibri"/>
          <w:sz w:val="24"/>
          <w:szCs w:val="24"/>
        </w:rPr>
      </w:pPr>
      <w:r w:rsidRPr="00445D22">
        <w:rPr>
          <w:rFonts w:ascii="Calibri" w:hAnsi="Calibri" w:cs="Calibri"/>
          <w:sz w:val="24"/>
          <w:szCs w:val="24"/>
        </w:rPr>
        <w:t xml:space="preserve">Al </w:t>
      </w:r>
      <w:r w:rsidR="00204162" w:rsidRPr="00445D22">
        <w:rPr>
          <w:rFonts w:ascii="Calibri" w:hAnsi="Calibri" w:cs="Calibri"/>
          <w:sz w:val="24"/>
          <w:szCs w:val="24"/>
        </w:rPr>
        <w:t>MINFIN</w:t>
      </w:r>
      <w:r w:rsidRPr="00445D22">
        <w:rPr>
          <w:rFonts w:ascii="Calibri" w:hAnsi="Calibri" w:cs="Calibri"/>
          <w:sz w:val="24"/>
          <w:szCs w:val="24"/>
        </w:rPr>
        <w:t>, le corresponden cumplir con las funciones establecidas en las leyes generales y particulares bajo las cuales se rige, de conformidad con el  marco jurídico para el alcance de sus funciones y mandatos, se regula principalmente por la Constitución Política de la República de Guatemala, Ley del Organismo Ejecutivo Decreto 114-97, Ley Orgánica del Presupuesto Decreto 101-97 y su Reglamento y el Reglamento Orgánico Interno Acuerdo Gubernativo 112-2018.</w:t>
      </w:r>
    </w:p>
    <w:p w14:paraId="7086F0B8" w14:textId="77777777" w:rsidR="00F02AE3" w:rsidRPr="00445D22" w:rsidRDefault="00F02AE3" w:rsidP="00F02AE3">
      <w:pPr>
        <w:spacing w:after="0" w:line="240" w:lineRule="auto"/>
        <w:ind w:firstLine="708"/>
        <w:jc w:val="both"/>
        <w:rPr>
          <w:rFonts w:ascii="Calibri" w:hAnsi="Calibri" w:cs="Calibri"/>
          <w:sz w:val="24"/>
          <w:szCs w:val="24"/>
        </w:rPr>
      </w:pPr>
    </w:p>
    <w:p w14:paraId="03CDB21E" w14:textId="77777777" w:rsidR="007C09D0" w:rsidRPr="00445D22" w:rsidRDefault="00DA3F54" w:rsidP="00BC0C91">
      <w:pPr>
        <w:spacing w:after="0" w:line="240" w:lineRule="auto"/>
        <w:jc w:val="both"/>
        <w:rPr>
          <w:rFonts w:ascii="Calibri" w:hAnsi="Calibri" w:cs="Calibri"/>
          <w:sz w:val="24"/>
          <w:szCs w:val="24"/>
        </w:rPr>
      </w:pPr>
      <w:r w:rsidRPr="00445D22">
        <w:rPr>
          <w:rFonts w:ascii="Calibri" w:hAnsi="Calibri" w:cs="Calibri"/>
          <w:sz w:val="24"/>
          <w:szCs w:val="24"/>
        </w:rPr>
        <w:t xml:space="preserve">En ese sentido, de </w:t>
      </w:r>
      <w:r w:rsidR="00F02AE3" w:rsidRPr="00445D22">
        <w:rPr>
          <w:rFonts w:ascii="Calibri" w:hAnsi="Calibri" w:cs="Calibri"/>
          <w:sz w:val="24"/>
          <w:szCs w:val="24"/>
        </w:rPr>
        <w:t xml:space="preserve">acuerdo al marco jurídico que regula el funcionamiento del </w:t>
      </w:r>
      <w:r w:rsidRPr="00445D22">
        <w:rPr>
          <w:rFonts w:ascii="Calibri" w:hAnsi="Calibri" w:cs="Calibri"/>
          <w:sz w:val="24"/>
          <w:szCs w:val="24"/>
        </w:rPr>
        <w:t>Ministerio,</w:t>
      </w:r>
      <w:r w:rsidR="00F02AE3" w:rsidRPr="00445D22">
        <w:rPr>
          <w:rFonts w:ascii="Calibri" w:hAnsi="Calibri" w:cs="Calibri"/>
          <w:sz w:val="24"/>
          <w:szCs w:val="24"/>
        </w:rPr>
        <w:t xml:space="preserve"> </w:t>
      </w:r>
      <w:r w:rsidR="00986E9C" w:rsidRPr="00445D22">
        <w:rPr>
          <w:rFonts w:ascii="Calibri" w:hAnsi="Calibri" w:cs="Calibri"/>
          <w:sz w:val="24"/>
          <w:szCs w:val="24"/>
        </w:rPr>
        <w:t>específicamente la Ley del Ejecutivo</w:t>
      </w:r>
      <w:r w:rsidR="00420AA2" w:rsidRPr="00445D22">
        <w:rPr>
          <w:rFonts w:ascii="Calibri" w:hAnsi="Calibri" w:cs="Calibri"/>
          <w:sz w:val="24"/>
          <w:szCs w:val="24"/>
        </w:rPr>
        <w:t xml:space="preserve"> Decreto 114-97</w:t>
      </w:r>
      <w:r w:rsidR="00986E9C" w:rsidRPr="00445D22">
        <w:rPr>
          <w:rFonts w:ascii="Calibri" w:hAnsi="Calibri" w:cs="Calibri"/>
          <w:sz w:val="24"/>
          <w:szCs w:val="24"/>
        </w:rPr>
        <w:t xml:space="preserve">, </w:t>
      </w:r>
      <w:r w:rsidR="00821D22" w:rsidRPr="00445D22">
        <w:rPr>
          <w:rFonts w:ascii="Calibri" w:hAnsi="Calibri" w:cs="Calibri"/>
          <w:sz w:val="24"/>
          <w:szCs w:val="24"/>
        </w:rPr>
        <w:t xml:space="preserve">entre las funciones </w:t>
      </w:r>
      <w:r w:rsidR="007C09D0" w:rsidRPr="00445D22">
        <w:rPr>
          <w:rFonts w:ascii="Calibri" w:hAnsi="Calibri" w:cs="Calibri"/>
          <w:sz w:val="24"/>
          <w:szCs w:val="24"/>
        </w:rPr>
        <w:t xml:space="preserve">y atribuciones y objetivos </w:t>
      </w:r>
      <w:r w:rsidR="00821D22" w:rsidRPr="00445D22">
        <w:rPr>
          <w:rFonts w:ascii="Calibri" w:hAnsi="Calibri" w:cs="Calibri"/>
          <w:sz w:val="24"/>
          <w:szCs w:val="24"/>
        </w:rPr>
        <w:t>se destacan</w:t>
      </w:r>
      <w:r w:rsidR="006C1B0D" w:rsidRPr="00445D22">
        <w:rPr>
          <w:rFonts w:ascii="Calibri" w:hAnsi="Calibri" w:cs="Calibri"/>
          <w:sz w:val="24"/>
          <w:szCs w:val="24"/>
        </w:rPr>
        <w:t xml:space="preserve"> entre otras las </w:t>
      </w:r>
      <w:r w:rsidR="00F02AE3" w:rsidRPr="00445D22">
        <w:rPr>
          <w:rFonts w:ascii="Calibri" w:hAnsi="Calibri" w:cs="Calibri"/>
          <w:sz w:val="24"/>
          <w:szCs w:val="24"/>
        </w:rPr>
        <w:t xml:space="preserve"> siguientes: </w:t>
      </w:r>
    </w:p>
    <w:p w14:paraId="0536D256" w14:textId="77777777" w:rsidR="007C09D0" w:rsidRPr="00445D22" w:rsidRDefault="007C09D0" w:rsidP="00BC0C91">
      <w:pPr>
        <w:spacing w:after="0" w:line="240" w:lineRule="auto"/>
        <w:jc w:val="both"/>
        <w:rPr>
          <w:rFonts w:ascii="Calibri" w:hAnsi="Calibri" w:cs="Calibri"/>
          <w:b/>
          <w:sz w:val="24"/>
          <w:szCs w:val="24"/>
        </w:rPr>
      </w:pPr>
    </w:p>
    <w:p w14:paraId="232FF1E1" w14:textId="77777777" w:rsidR="007C09D0" w:rsidRPr="00445D22" w:rsidRDefault="007C09D0" w:rsidP="00396164">
      <w:pPr>
        <w:pStyle w:val="ListParagraph"/>
        <w:numPr>
          <w:ilvl w:val="0"/>
          <w:numId w:val="8"/>
        </w:numPr>
        <w:spacing w:after="0" w:line="240" w:lineRule="auto"/>
        <w:jc w:val="both"/>
        <w:rPr>
          <w:rFonts w:ascii="Calibri" w:hAnsi="Calibri" w:cs="Calibri"/>
          <w:sz w:val="24"/>
          <w:szCs w:val="24"/>
        </w:rPr>
      </w:pPr>
      <w:r w:rsidRPr="00445D22">
        <w:rPr>
          <w:rFonts w:ascii="Calibri" w:hAnsi="Calibri" w:cs="Calibri"/>
          <w:b/>
          <w:sz w:val="24"/>
          <w:szCs w:val="24"/>
        </w:rPr>
        <w:t>Funciones y atribuciones</w:t>
      </w:r>
      <w:r w:rsidRPr="00445D22">
        <w:rPr>
          <w:rFonts w:ascii="Calibri" w:hAnsi="Calibri" w:cs="Calibri"/>
          <w:sz w:val="24"/>
          <w:szCs w:val="24"/>
        </w:rPr>
        <w:t>:</w:t>
      </w:r>
    </w:p>
    <w:p w14:paraId="015F06E7" w14:textId="77777777" w:rsidR="005E0F06" w:rsidRPr="00445D22" w:rsidRDefault="005E0F06" w:rsidP="005E0F06">
      <w:pPr>
        <w:pStyle w:val="ListParagraph"/>
        <w:spacing w:after="0" w:line="240" w:lineRule="auto"/>
        <w:jc w:val="both"/>
        <w:rPr>
          <w:rFonts w:ascii="Calibri" w:hAnsi="Calibri" w:cs="Calibri"/>
          <w:sz w:val="24"/>
          <w:szCs w:val="24"/>
        </w:rPr>
      </w:pPr>
    </w:p>
    <w:p w14:paraId="35988E4E" w14:textId="77777777" w:rsidR="00986E9C" w:rsidRPr="00445D22" w:rsidRDefault="007C09D0" w:rsidP="007C09D0">
      <w:pPr>
        <w:pStyle w:val="ListParagraph"/>
        <w:spacing w:after="0" w:line="240" w:lineRule="auto"/>
        <w:jc w:val="both"/>
        <w:rPr>
          <w:rFonts w:ascii="Calibri" w:hAnsi="Calibri" w:cs="Calibri"/>
          <w:sz w:val="24"/>
          <w:szCs w:val="24"/>
        </w:rPr>
      </w:pPr>
      <w:r w:rsidRPr="00445D22">
        <w:rPr>
          <w:rFonts w:ascii="Calibri" w:hAnsi="Calibri" w:cs="Calibri"/>
          <w:sz w:val="24"/>
          <w:szCs w:val="24"/>
        </w:rPr>
        <w:t xml:space="preserve">1) </w:t>
      </w:r>
      <w:r w:rsidR="00986E9C" w:rsidRPr="00445D22">
        <w:rPr>
          <w:rFonts w:ascii="Calibri" w:hAnsi="Calibri" w:cs="Calibri"/>
          <w:sz w:val="24"/>
          <w:szCs w:val="24"/>
        </w:rPr>
        <w:t xml:space="preserve">Cumplir y hacer cumplir todo lo relativo al régimen </w:t>
      </w:r>
      <w:r w:rsidRPr="00445D22">
        <w:rPr>
          <w:rFonts w:ascii="Calibri" w:hAnsi="Calibri" w:cs="Calibri"/>
          <w:sz w:val="24"/>
          <w:szCs w:val="24"/>
        </w:rPr>
        <w:t>jurídico hacendario del Estado; 2) l</w:t>
      </w:r>
      <w:r w:rsidR="00986E9C" w:rsidRPr="00445D22">
        <w:rPr>
          <w:rFonts w:ascii="Calibri" w:hAnsi="Calibri" w:cs="Calibri"/>
          <w:sz w:val="24"/>
          <w:szCs w:val="24"/>
        </w:rPr>
        <w:t>a recaudación y administración de los ingresos fiscales</w:t>
      </w:r>
      <w:r w:rsidRPr="00445D22">
        <w:rPr>
          <w:rFonts w:ascii="Calibri" w:hAnsi="Calibri" w:cs="Calibri"/>
          <w:sz w:val="24"/>
          <w:szCs w:val="24"/>
        </w:rPr>
        <w:t xml:space="preserve">; 3) </w:t>
      </w:r>
      <w:r w:rsidR="00986E9C" w:rsidRPr="00445D22">
        <w:rPr>
          <w:rFonts w:ascii="Calibri" w:hAnsi="Calibri" w:cs="Calibri"/>
          <w:sz w:val="24"/>
          <w:szCs w:val="24"/>
        </w:rPr>
        <w:t>la gestión de financiamiento interno y externo</w:t>
      </w:r>
      <w:r w:rsidRPr="00445D22">
        <w:rPr>
          <w:rFonts w:ascii="Calibri" w:hAnsi="Calibri" w:cs="Calibri"/>
          <w:sz w:val="24"/>
          <w:szCs w:val="24"/>
        </w:rPr>
        <w:t xml:space="preserve">; 4) </w:t>
      </w:r>
      <w:r w:rsidR="00986E9C" w:rsidRPr="00445D22">
        <w:rPr>
          <w:rFonts w:ascii="Calibri" w:hAnsi="Calibri" w:cs="Calibri"/>
          <w:sz w:val="24"/>
          <w:szCs w:val="24"/>
        </w:rPr>
        <w:t xml:space="preserve">la ejecución presupuestaria y </w:t>
      </w:r>
      <w:r w:rsidRPr="00445D22">
        <w:rPr>
          <w:rFonts w:ascii="Calibri" w:hAnsi="Calibri" w:cs="Calibri"/>
          <w:sz w:val="24"/>
          <w:szCs w:val="24"/>
        </w:rPr>
        <w:t xml:space="preserve">5) </w:t>
      </w:r>
      <w:r w:rsidR="00986E9C" w:rsidRPr="00445D22">
        <w:rPr>
          <w:rFonts w:ascii="Calibri" w:hAnsi="Calibri" w:cs="Calibri"/>
          <w:sz w:val="24"/>
          <w:szCs w:val="24"/>
        </w:rPr>
        <w:t>el registro y control de los bienes, que constituyen el patrimonio del Estado</w:t>
      </w:r>
      <w:r w:rsidR="00CD02E9" w:rsidRPr="00445D22">
        <w:rPr>
          <w:rFonts w:ascii="Calibri" w:hAnsi="Calibri" w:cs="Calibri"/>
          <w:sz w:val="24"/>
          <w:szCs w:val="24"/>
        </w:rPr>
        <w:t>.</w:t>
      </w:r>
    </w:p>
    <w:p w14:paraId="38981DA1" w14:textId="77777777" w:rsidR="00CD02E9" w:rsidRPr="00445D22" w:rsidRDefault="00CD02E9" w:rsidP="00986E9C">
      <w:pPr>
        <w:spacing w:after="0" w:line="240" w:lineRule="auto"/>
        <w:jc w:val="both"/>
        <w:rPr>
          <w:rFonts w:ascii="Calibri" w:hAnsi="Calibri" w:cs="Calibri"/>
          <w:sz w:val="24"/>
          <w:szCs w:val="24"/>
        </w:rPr>
      </w:pPr>
    </w:p>
    <w:p w14:paraId="3EB57FE2" w14:textId="77777777" w:rsidR="007C09D0" w:rsidRPr="00445D22" w:rsidRDefault="007C09D0" w:rsidP="00396164">
      <w:pPr>
        <w:pStyle w:val="ListParagraph"/>
        <w:numPr>
          <w:ilvl w:val="0"/>
          <w:numId w:val="8"/>
        </w:numPr>
        <w:spacing w:after="0" w:line="240" w:lineRule="auto"/>
        <w:jc w:val="both"/>
        <w:rPr>
          <w:rFonts w:ascii="Calibri" w:hAnsi="Calibri" w:cs="Calibri"/>
          <w:b/>
          <w:sz w:val="24"/>
          <w:szCs w:val="24"/>
        </w:rPr>
      </w:pPr>
      <w:r w:rsidRPr="00445D22">
        <w:rPr>
          <w:rFonts w:ascii="Calibri" w:hAnsi="Calibri" w:cs="Calibri"/>
          <w:b/>
          <w:sz w:val="24"/>
          <w:szCs w:val="24"/>
        </w:rPr>
        <w:t>O</w:t>
      </w:r>
      <w:r w:rsidR="00CD02E9" w:rsidRPr="00445D22">
        <w:rPr>
          <w:rFonts w:ascii="Calibri" w:hAnsi="Calibri" w:cs="Calibri"/>
          <w:b/>
          <w:sz w:val="24"/>
          <w:szCs w:val="24"/>
        </w:rPr>
        <w:t xml:space="preserve">bjetivos </w:t>
      </w:r>
      <w:r w:rsidR="00B037C1" w:rsidRPr="00445D22">
        <w:rPr>
          <w:rFonts w:ascii="Calibri" w:hAnsi="Calibri" w:cs="Calibri"/>
          <w:b/>
          <w:sz w:val="24"/>
          <w:szCs w:val="24"/>
        </w:rPr>
        <w:t>que orientan el cumplimiento de las funciones institucionales</w:t>
      </w:r>
      <w:r w:rsidRPr="00445D22">
        <w:rPr>
          <w:rFonts w:ascii="Calibri" w:hAnsi="Calibri" w:cs="Calibri"/>
          <w:b/>
          <w:sz w:val="24"/>
          <w:szCs w:val="24"/>
        </w:rPr>
        <w:t>.</w:t>
      </w:r>
    </w:p>
    <w:p w14:paraId="53F7C523" w14:textId="77777777" w:rsidR="005E0F06" w:rsidRPr="00445D22" w:rsidRDefault="005E0F06" w:rsidP="005E0F06">
      <w:pPr>
        <w:pStyle w:val="ListParagraph"/>
        <w:spacing w:after="0" w:line="240" w:lineRule="auto"/>
        <w:jc w:val="both"/>
        <w:rPr>
          <w:rFonts w:ascii="Calibri" w:hAnsi="Calibri" w:cs="Calibri"/>
          <w:b/>
          <w:sz w:val="24"/>
          <w:szCs w:val="24"/>
        </w:rPr>
      </w:pPr>
    </w:p>
    <w:p w14:paraId="6352A6DB" w14:textId="77777777" w:rsidR="00B037C1" w:rsidRPr="00445D22" w:rsidRDefault="007C09D0" w:rsidP="007C09D0">
      <w:pPr>
        <w:pStyle w:val="ListParagraph"/>
        <w:spacing w:after="0" w:line="240" w:lineRule="auto"/>
        <w:jc w:val="both"/>
        <w:rPr>
          <w:rFonts w:ascii="Calibri" w:hAnsi="Calibri" w:cs="Calibri"/>
          <w:sz w:val="24"/>
          <w:szCs w:val="24"/>
        </w:rPr>
      </w:pPr>
      <w:r w:rsidRPr="00445D22">
        <w:rPr>
          <w:rFonts w:ascii="Calibri" w:hAnsi="Calibri" w:cs="Calibri"/>
          <w:sz w:val="24"/>
          <w:szCs w:val="24"/>
        </w:rPr>
        <w:t>1)</w:t>
      </w:r>
      <w:r w:rsidR="00182A80" w:rsidRPr="00445D22">
        <w:rPr>
          <w:rFonts w:ascii="Calibri" w:hAnsi="Calibri" w:cs="Calibri"/>
          <w:sz w:val="24"/>
          <w:szCs w:val="24"/>
        </w:rPr>
        <w:t xml:space="preserve"> </w:t>
      </w:r>
      <w:r w:rsidR="00B037C1" w:rsidRPr="00445D22">
        <w:rPr>
          <w:rFonts w:ascii="Calibri" w:hAnsi="Calibri" w:cs="Calibri"/>
          <w:sz w:val="24"/>
          <w:szCs w:val="24"/>
        </w:rPr>
        <w:t>Rescat</w:t>
      </w:r>
      <w:r w:rsidR="005D23B0" w:rsidRPr="00445D22">
        <w:rPr>
          <w:rFonts w:ascii="Calibri" w:hAnsi="Calibri" w:cs="Calibri"/>
          <w:sz w:val="24"/>
          <w:szCs w:val="24"/>
        </w:rPr>
        <w:t>ar</w:t>
      </w:r>
      <w:r w:rsidR="00B037C1" w:rsidRPr="00445D22">
        <w:rPr>
          <w:rFonts w:ascii="Calibri" w:hAnsi="Calibri" w:cs="Calibri"/>
          <w:sz w:val="24"/>
          <w:szCs w:val="24"/>
        </w:rPr>
        <w:t xml:space="preserve"> las Finanzas Púbicas, la funcionalidad del Estado y la confianza ciudadana en el buen uso de los recursos</w:t>
      </w:r>
      <w:r w:rsidR="00182A80" w:rsidRPr="00445D22">
        <w:rPr>
          <w:rFonts w:ascii="Calibri" w:hAnsi="Calibri" w:cs="Calibri"/>
          <w:sz w:val="24"/>
          <w:szCs w:val="24"/>
        </w:rPr>
        <w:t xml:space="preserve">; 2) </w:t>
      </w:r>
      <w:r w:rsidR="00B037C1" w:rsidRPr="00445D22">
        <w:rPr>
          <w:rFonts w:ascii="Calibri" w:hAnsi="Calibri" w:cs="Calibri"/>
          <w:sz w:val="24"/>
          <w:szCs w:val="24"/>
        </w:rPr>
        <w:t xml:space="preserve"> Fortalecer las Finanzas Públicas de forma sostenible, con capacidad de inversión social, económica, urbana y rural</w:t>
      </w:r>
      <w:r w:rsidR="00182A80" w:rsidRPr="00445D22">
        <w:rPr>
          <w:rFonts w:ascii="Calibri" w:hAnsi="Calibri" w:cs="Calibri"/>
          <w:sz w:val="24"/>
          <w:szCs w:val="24"/>
        </w:rPr>
        <w:t xml:space="preserve">; 3) </w:t>
      </w:r>
      <w:r w:rsidR="00B037C1" w:rsidRPr="00445D22">
        <w:rPr>
          <w:rFonts w:ascii="Calibri" w:hAnsi="Calibri" w:cs="Calibri"/>
          <w:sz w:val="24"/>
          <w:szCs w:val="24"/>
        </w:rPr>
        <w:t>Liderar una Agenda para acelerar el crecimiento económico inclusivo</w:t>
      </w:r>
      <w:r w:rsidR="00182A80" w:rsidRPr="00445D22">
        <w:rPr>
          <w:rFonts w:ascii="Calibri" w:hAnsi="Calibri" w:cs="Calibri"/>
          <w:sz w:val="24"/>
          <w:szCs w:val="24"/>
        </w:rPr>
        <w:t xml:space="preserve"> y 4) </w:t>
      </w:r>
      <w:r w:rsidR="00B037C1" w:rsidRPr="00445D22">
        <w:rPr>
          <w:rFonts w:ascii="Calibri" w:hAnsi="Calibri" w:cs="Calibri"/>
          <w:sz w:val="24"/>
          <w:szCs w:val="24"/>
        </w:rPr>
        <w:t>Gerenciar un Sistema de Trasparencia Fiscal, para implementar principios y prácticas de gobierno abierto y gestión de riesgos fiscales</w:t>
      </w:r>
      <w:r w:rsidR="00182A80" w:rsidRPr="00445D22">
        <w:rPr>
          <w:rFonts w:ascii="Calibri" w:hAnsi="Calibri" w:cs="Calibri"/>
          <w:sz w:val="24"/>
          <w:szCs w:val="24"/>
        </w:rPr>
        <w:t>.</w:t>
      </w:r>
    </w:p>
    <w:p w14:paraId="74D802E9" w14:textId="77777777" w:rsidR="00986E9C" w:rsidRDefault="00986E9C" w:rsidP="00F02AE3">
      <w:pPr>
        <w:spacing w:after="0" w:line="240" w:lineRule="auto"/>
        <w:ind w:firstLine="708"/>
        <w:jc w:val="both"/>
        <w:rPr>
          <w:rFonts w:ascii="Times New Roman" w:hAnsi="Times New Roman" w:cs="Times New Roman"/>
          <w:sz w:val="24"/>
          <w:szCs w:val="24"/>
        </w:rPr>
      </w:pPr>
    </w:p>
    <w:p w14:paraId="1DF49F4E" w14:textId="77777777" w:rsidR="004443D1" w:rsidRDefault="004443D1" w:rsidP="00F02AE3">
      <w:pPr>
        <w:spacing w:after="0" w:line="240" w:lineRule="auto"/>
        <w:ind w:firstLine="708"/>
        <w:jc w:val="both"/>
        <w:rPr>
          <w:rFonts w:ascii="Times New Roman" w:hAnsi="Times New Roman" w:cs="Times New Roman"/>
          <w:sz w:val="24"/>
          <w:szCs w:val="24"/>
        </w:rPr>
      </w:pPr>
    </w:p>
    <w:p w14:paraId="4C903426" w14:textId="77777777" w:rsidR="004443D1" w:rsidRPr="00F25F9C" w:rsidRDefault="004443D1" w:rsidP="00F02AE3">
      <w:pPr>
        <w:spacing w:after="0" w:line="240" w:lineRule="auto"/>
        <w:ind w:firstLine="708"/>
        <w:jc w:val="both"/>
        <w:rPr>
          <w:rFonts w:ascii="Times New Roman" w:hAnsi="Times New Roman" w:cs="Times New Roman"/>
          <w:color w:val="17365D" w:themeColor="text2" w:themeShade="BF"/>
          <w:sz w:val="32"/>
          <w:szCs w:val="32"/>
        </w:rPr>
      </w:pPr>
    </w:p>
    <w:p w14:paraId="532D7437" w14:textId="60171347" w:rsidR="00002692" w:rsidRPr="008E611B" w:rsidRDefault="005E4098" w:rsidP="00B91400">
      <w:pPr>
        <w:pStyle w:val="ListParagraph"/>
        <w:shd w:val="clear" w:color="auto" w:fill="95B3D7" w:themeFill="accent1" w:themeFillTint="99"/>
        <w:spacing w:after="0" w:line="240" w:lineRule="auto"/>
        <w:ind w:left="0"/>
        <w:rPr>
          <w:rFonts w:ascii="Calibri" w:hAnsi="Calibri" w:cs="Calibri"/>
          <w:b/>
          <w:color w:val="17365D" w:themeColor="text2" w:themeShade="BF"/>
          <w:sz w:val="30"/>
          <w:szCs w:val="30"/>
        </w:rPr>
      </w:pPr>
      <w:r>
        <w:rPr>
          <w:rFonts w:ascii="Calibri" w:hAnsi="Calibri" w:cs="Calibri"/>
          <w:b/>
          <w:color w:val="17365D" w:themeColor="text2" w:themeShade="BF"/>
          <w:sz w:val="30"/>
          <w:szCs w:val="30"/>
        </w:rPr>
        <w:t xml:space="preserve"> </w:t>
      </w:r>
      <w:r w:rsidR="00F02AE3" w:rsidRPr="008E611B">
        <w:rPr>
          <w:rFonts w:ascii="Calibri" w:hAnsi="Calibri" w:cs="Calibri"/>
          <w:b/>
          <w:color w:val="17365D" w:themeColor="text2" w:themeShade="BF"/>
          <w:sz w:val="30"/>
          <w:szCs w:val="30"/>
        </w:rPr>
        <w:t>PARTE GENERAL</w:t>
      </w:r>
      <w:r w:rsidR="00F25F9C" w:rsidRPr="008E611B">
        <w:rPr>
          <w:rFonts w:ascii="Calibri" w:hAnsi="Calibri" w:cs="Calibri"/>
          <w:b/>
          <w:color w:val="17365D" w:themeColor="text2" w:themeShade="BF"/>
          <w:sz w:val="30"/>
          <w:szCs w:val="30"/>
        </w:rPr>
        <w:t xml:space="preserve"> - </w:t>
      </w:r>
      <w:r w:rsidR="00F02AE3" w:rsidRPr="008E611B">
        <w:rPr>
          <w:rFonts w:ascii="Calibri" w:hAnsi="Calibri" w:cs="Calibri"/>
          <w:b/>
          <w:color w:val="17365D" w:themeColor="text2" w:themeShade="BF"/>
          <w:sz w:val="30"/>
          <w:szCs w:val="30"/>
        </w:rPr>
        <w:t xml:space="preserve"> EJECUCIÓN PRESUPUESTARIA</w:t>
      </w:r>
    </w:p>
    <w:p w14:paraId="11D036BA" w14:textId="77777777" w:rsidR="00002692" w:rsidRPr="00445D22" w:rsidRDefault="00002692" w:rsidP="00002692">
      <w:pPr>
        <w:pStyle w:val="ListParagraph"/>
        <w:spacing w:after="0" w:line="240" w:lineRule="auto"/>
        <w:ind w:left="1080"/>
        <w:rPr>
          <w:rFonts w:ascii="Calibri" w:hAnsi="Calibri" w:cs="Calibri"/>
          <w:b/>
          <w:sz w:val="24"/>
          <w:szCs w:val="24"/>
        </w:rPr>
      </w:pPr>
    </w:p>
    <w:p w14:paraId="7BD041C0" w14:textId="77777777" w:rsidR="0035671D" w:rsidRPr="00445D22" w:rsidRDefault="0035671D" w:rsidP="00396164">
      <w:pPr>
        <w:pStyle w:val="ListParagraph"/>
        <w:numPr>
          <w:ilvl w:val="0"/>
          <w:numId w:val="8"/>
        </w:numPr>
        <w:spacing w:after="0" w:line="240" w:lineRule="auto"/>
        <w:rPr>
          <w:rFonts w:ascii="Calibri" w:hAnsi="Calibri" w:cs="Calibri"/>
          <w:b/>
          <w:sz w:val="24"/>
          <w:szCs w:val="24"/>
        </w:rPr>
      </w:pPr>
      <w:r w:rsidRPr="00445D22">
        <w:rPr>
          <w:rFonts w:ascii="Calibri" w:hAnsi="Calibri" w:cs="Calibri"/>
          <w:b/>
          <w:sz w:val="24"/>
          <w:szCs w:val="24"/>
        </w:rPr>
        <w:t>Gráfica y descripción del presupuesto  vigente, ejecutado y saldo por ejecutar</w:t>
      </w:r>
      <w:r w:rsidR="00CE103A" w:rsidRPr="00445D22">
        <w:rPr>
          <w:rFonts w:ascii="Calibri" w:hAnsi="Calibri" w:cs="Calibri"/>
          <w:b/>
          <w:sz w:val="24"/>
          <w:szCs w:val="24"/>
        </w:rPr>
        <w:t xml:space="preserve"> de la entidad.</w:t>
      </w:r>
    </w:p>
    <w:p w14:paraId="7F776E30" w14:textId="77777777" w:rsidR="003B6DFB" w:rsidRPr="00445D22" w:rsidRDefault="003B6DFB" w:rsidP="003B6DFB">
      <w:pPr>
        <w:pStyle w:val="ListParagraph"/>
        <w:spacing w:after="0" w:line="240" w:lineRule="auto"/>
        <w:ind w:left="360"/>
        <w:rPr>
          <w:rFonts w:ascii="Calibri" w:hAnsi="Calibri" w:cs="Calibri"/>
        </w:rPr>
      </w:pPr>
    </w:p>
    <w:p w14:paraId="23CB28FE" w14:textId="77777777" w:rsidR="00BE1653" w:rsidRPr="00445D22" w:rsidRDefault="00BE1653" w:rsidP="003B6DFB">
      <w:pPr>
        <w:pStyle w:val="ListParagraph"/>
        <w:spacing w:after="0" w:line="240" w:lineRule="auto"/>
        <w:ind w:left="360"/>
        <w:rPr>
          <w:rFonts w:ascii="Calibri" w:hAnsi="Calibri" w:cs="Calibri"/>
        </w:rPr>
      </w:pPr>
    </w:p>
    <w:p w14:paraId="43F04DFF" w14:textId="77777777" w:rsidR="00BB09C6" w:rsidRPr="00445D22" w:rsidRDefault="008336B5" w:rsidP="00BE1653">
      <w:pPr>
        <w:rPr>
          <w:rFonts w:ascii="Calibri" w:hAnsi="Calibri" w:cs="Calibri"/>
          <w:sz w:val="20"/>
          <w:szCs w:val="20"/>
        </w:rPr>
      </w:pPr>
      <w:r w:rsidRPr="00445D22">
        <w:rPr>
          <w:rFonts w:ascii="Calibri" w:hAnsi="Calibri" w:cs="Calibri"/>
          <w:noProof/>
          <w:lang w:eastAsia="es-GT"/>
        </w:rPr>
        <w:drawing>
          <wp:inline distT="0" distB="0" distL="0" distR="0" wp14:anchorId="75CED024" wp14:editId="5FEEE083">
            <wp:extent cx="5603358" cy="3508744"/>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B99BFA" w14:textId="77777777" w:rsidR="00A60EFF" w:rsidRDefault="00A60EFF" w:rsidP="00BE1653">
      <w:pPr>
        <w:pStyle w:val="Default"/>
        <w:spacing w:after="171"/>
        <w:jc w:val="both"/>
        <w:rPr>
          <w:color w:val="auto"/>
        </w:rPr>
      </w:pPr>
    </w:p>
    <w:p w14:paraId="74ED128A" w14:textId="7B5C5F1B" w:rsidR="00BE1653" w:rsidRPr="00445D22" w:rsidRDefault="00BE1653" w:rsidP="00BE1653">
      <w:pPr>
        <w:pStyle w:val="Default"/>
        <w:spacing w:after="171"/>
        <w:jc w:val="both"/>
        <w:rPr>
          <w:color w:val="auto"/>
        </w:rPr>
      </w:pPr>
      <w:r w:rsidRPr="00445D22">
        <w:rPr>
          <w:color w:val="auto"/>
        </w:rPr>
        <w:t>La diferencia entre el presupuesto asignado en relación al presupuesto vigente deriva de los Q.41,840,000.00 que se pusieron a disposición del presupuesto institucional del Ministerio de Finanzas Públicas, con el propósito de viabilizar la ejecución de programas y proyectos priorizados en cumplimiento de la Política General de Gobierno. Queda un 23.7% del presupuesto por ejecutar, el cual se estima ejecutar para el pago de nómina de salarios, honorarios, prestaciones laborales, adquisiciones de bienes y servicios prioritarios, además del equipamiento contemplado en los eventos de adquisiciones que se encuentran en proceso.</w:t>
      </w:r>
    </w:p>
    <w:p w14:paraId="373E1C82" w14:textId="10515E40" w:rsidR="00447986" w:rsidRDefault="00447986" w:rsidP="009D6EEE">
      <w:pPr>
        <w:pStyle w:val="Default"/>
        <w:spacing w:after="171"/>
        <w:jc w:val="both"/>
        <w:rPr>
          <w:rFonts w:ascii="Times New Roman" w:hAnsi="Times New Roman" w:cs="Times New Roman"/>
          <w:b/>
        </w:rPr>
      </w:pPr>
    </w:p>
    <w:p w14:paraId="1C996E2E" w14:textId="77777777" w:rsidR="00F0771B" w:rsidRDefault="00F0771B" w:rsidP="009D6EEE">
      <w:pPr>
        <w:pStyle w:val="Default"/>
        <w:spacing w:after="171"/>
        <w:jc w:val="both"/>
        <w:rPr>
          <w:rFonts w:ascii="Times New Roman" w:hAnsi="Times New Roman" w:cs="Times New Roman"/>
          <w:color w:val="auto"/>
        </w:rPr>
      </w:pPr>
    </w:p>
    <w:p w14:paraId="64D88363" w14:textId="77777777" w:rsidR="00447986" w:rsidRDefault="00447986" w:rsidP="009D6EEE">
      <w:pPr>
        <w:pStyle w:val="Default"/>
        <w:spacing w:after="171"/>
        <w:jc w:val="both"/>
        <w:rPr>
          <w:rFonts w:ascii="Times New Roman" w:hAnsi="Times New Roman" w:cs="Times New Roman"/>
          <w:color w:val="auto"/>
        </w:rPr>
      </w:pPr>
    </w:p>
    <w:p w14:paraId="613556D6" w14:textId="77777777" w:rsidR="0035671D" w:rsidRPr="00445D22" w:rsidRDefault="0035671D" w:rsidP="00396164">
      <w:pPr>
        <w:pStyle w:val="ListParagraph"/>
        <w:numPr>
          <w:ilvl w:val="0"/>
          <w:numId w:val="8"/>
        </w:numPr>
        <w:spacing w:after="0" w:line="240" w:lineRule="auto"/>
        <w:ind w:left="360"/>
        <w:rPr>
          <w:rFonts w:ascii="Calibri" w:hAnsi="Calibri" w:cs="Calibri"/>
          <w:b/>
          <w:sz w:val="24"/>
          <w:szCs w:val="24"/>
        </w:rPr>
      </w:pPr>
      <w:r w:rsidRPr="00445D22">
        <w:rPr>
          <w:rFonts w:ascii="Calibri" w:hAnsi="Calibri" w:cs="Calibri"/>
          <w:b/>
          <w:sz w:val="24"/>
          <w:szCs w:val="24"/>
        </w:rPr>
        <w:lastRenderedPageBreak/>
        <w:t xml:space="preserve">Gráfica y descripción del porcentaje de ejecución. </w:t>
      </w:r>
    </w:p>
    <w:p w14:paraId="565142D5" w14:textId="77777777" w:rsidR="0035671D" w:rsidRPr="00445D22" w:rsidRDefault="0035671D" w:rsidP="004311A5">
      <w:pPr>
        <w:pStyle w:val="ListParagraph"/>
        <w:rPr>
          <w:rFonts w:ascii="Calibri" w:hAnsi="Calibri" w:cs="Calibri"/>
          <w:sz w:val="24"/>
          <w:szCs w:val="24"/>
        </w:rPr>
      </w:pPr>
    </w:p>
    <w:p w14:paraId="067DBF39" w14:textId="77777777" w:rsidR="0035671D" w:rsidRPr="00445D22" w:rsidRDefault="008336B5" w:rsidP="0035671D">
      <w:pPr>
        <w:pStyle w:val="ListParagraph"/>
        <w:spacing w:after="0" w:line="240" w:lineRule="auto"/>
        <w:ind w:left="360"/>
        <w:rPr>
          <w:rFonts w:ascii="Calibri" w:hAnsi="Calibri" w:cs="Calibri"/>
          <w:sz w:val="24"/>
          <w:szCs w:val="24"/>
        </w:rPr>
      </w:pPr>
      <w:r w:rsidRPr="00445D22">
        <w:rPr>
          <w:rFonts w:ascii="Calibri" w:hAnsi="Calibri" w:cs="Calibri"/>
          <w:noProof/>
          <w:lang w:eastAsia="es-GT"/>
        </w:rPr>
        <w:drawing>
          <wp:inline distT="0" distB="0" distL="0" distR="0" wp14:anchorId="096DEBA6" wp14:editId="7A5E41A9">
            <wp:extent cx="5522026" cy="2576946"/>
            <wp:effectExtent l="0" t="0" r="2540" b="12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1D9905" w14:textId="77777777" w:rsidR="008336B5" w:rsidRPr="00445D22" w:rsidRDefault="008336B5" w:rsidP="0035671D">
      <w:pPr>
        <w:pStyle w:val="ListParagraph"/>
        <w:spacing w:after="0" w:line="240" w:lineRule="auto"/>
        <w:ind w:left="360"/>
        <w:rPr>
          <w:rFonts w:ascii="Calibri" w:hAnsi="Calibri" w:cs="Calibri"/>
          <w:sz w:val="24"/>
          <w:szCs w:val="24"/>
        </w:rPr>
      </w:pPr>
    </w:p>
    <w:tbl>
      <w:tblPr>
        <w:tblW w:w="5000" w:type="pct"/>
        <w:tblLayout w:type="fixed"/>
        <w:tblCellMar>
          <w:left w:w="70" w:type="dxa"/>
          <w:right w:w="70" w:type="dxa"/>
        </w:tblCellMar>
        <w:tblLook w:val="04A0" w:firstRow="1" w:lastRow="0" w:firstColumn="1" w:lastColumn="0" w:noHBand="0" w:noVBand="1"/>
      </w:tblPr>
      <w:tblGrid>
        <w:gridCol w:w="401"/>
        <w:gridCol w:w="3855"/>
        <w:gridCol w:w="1534"/>
        <w:gridCol w:w="1487"/>
        <w:gridCol w:w="1561"/>
      </w:tblGrid>
      <w:tr w:rsidR="008336B5" w:rsidRPr="00445D22" w14:paraId="68431BEC" w14:textId="77777777" w:rsidTr="008336B5">
        <w:trPr>
          <w:trHeight w:val="20"/>
        </w:trPr>
        <w:tc>
          <w:tcPr>
            <w:tcW w:w="227" w:type="pct"/>
            <w:tcBorders>
              <w:top w:val="single" w:sz="4" w:space="0" w:color="auto"/>
              <w:left w:val="nil"/>
              <w:bottom w:val="nil"/>
              <w:right w:val="nil"/>
            </w:tcBorders>
            <w:shd w:val="clear" w:color="auto" w:fill="auto"/>
            <w:noWrap/>
            <w:vAlign w:val="bottom"/>
            <w:hideMark/>
          </w:tcPr>
          <w:p w14:paraId="078407D9"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 </w:t>
            </w:r>
          </w:p>
        </w:tc>
        <w:tc>
          <w:tcPr>
            <w:tcW w:w="2181" w:type="pct"/>
            <w:tcBorders>
              <w:top w:val="single" w:sz="4" w:space="0" w:color="auto"/>
              <w:left w:val="nil"/>
              <w:bottom w:val="nil"/>
              <w:right w:val="nil"/>
            </w:tcBorders>
            <w:shd w:val="clear" w:color="auto" w:fill="auto"/>
            <w:noWrap/>
            <w:vAlign w:val="bottom"/>
            <w:hideMark/>
          </w:tcPr>
          <w:p w14:paraId="6F2DB7B1"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 </w:t>
            </w:r>
          </w:p>
        </w:tc>
        <w:tc>
          <w:tcPr>
            <w:tcW w:w="2592" w:type="pct"/>
            <w:gridSpan w:val="3"/>
            <w:tcBorders>
              <w:top w:val="single" w:sz="4" w:space="0" w:color="auto"/>
              <w:left w:val="nil"/>
              <w:bottom w:val="single" w:sz="4" w:space="0" w:color="auto"/>
              <w:right w:val="nil"/>
            </w:tcBorders>
            <w:shd w:val="clear" w:color="auto" w:fill="auto"/>
            <w:noWrap/>
            <w:vAlign w:val="bottom"/>
            <w:hideMark/>
          </w:tcPr>
          <w:p w14:paraId="47ECF36B" w14:textId="77777777" w:rsidR="008336B5" w:rsidRPr="00445D22" w:rsidRDefault="008336B5" w:rsidP="008336B5">
            <w:pPr>
              <w:spacing w:after="0" w:line="240" w:lineRule="auto"/>
              <w:jc w:val="center"/>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Por grupo de gasto</w:t>
            </w:r>
          </w:p>
        </w:tc>
      </w:tr>
      <w:tr w:rsidR="008336B5" w:rsidRPr="00445D22" w14:paraId="2C362ECE" w14:textId="77777777" w:rsidTr="008336B5">
        <w:trPr>
          <w:trHeight w:val="20"/>
        </w:trPr>
        <w:tc>
          <w:tcPr>
            <w:tcW w:w="227" w:type="pct"/>
            <w:tcBorders>
              <w:top w:val="nil"/>
              <w:left w:val="nil"/>
              <w:bottom w:val="single" w:sz="4" w:space="0" w:color="auto"/>
              <w:right w:val="nil"/>
            </w:tcBorders>
            <w:shd w:val="clear" w:color="auto" w:fill="auto"/>
            <w:noWrap/>
            <w:vAlign w:val="bottom"/>
            <w:hideMark/>
          </w:tcPr>
          <w:p w14:paraId="71931495"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 </w:t>
            </w:r>
          </w:p>
        </w:tc>
        <w:tc>
          <w:tcPr>
            <w:tcW w:w="2181" w:type="pct"/>
            <w:tcBorders>
              <w:top w:val="nil"/>
              <w:left w:val="nil"/>
              <w:bottom w:val="single" w:sz="4" w:space="0" w:color="auto"/>
              <w:right w:val="nil"/>
            </w:tcBorders>
            <w:shd w:val="clear" w:color="auto" w:fill="auto"/>
            <w:noWrap/>
            <w:vAlign w:val="bottom"/>
            <w:hideMark/>
          </w:tcPr>
          <w:p w14:paraId="32898EE4"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 </w:t>
            </w:r>
          </w:p>
        </w:tc>
        <w:tc>
          <w:tcPr>
            <w:tcW w:w="868" w:type="pct"/>
            <w:tcBorders>
              <w:top w:val="nil"/>
              <w:left w:val="nil"/>
              <w:bottom w:val="single" w:sz="4" w:space="0" w:color="auto"/>
              <w:right w:val="nil"/>
            </w:tcBorders>
            <w:shd w:val="clear" w:color="auto" w:fill="auto"/>
            <w:noWrap/>
            <w:vAlign w:val="bottom"/>
            <w:hideMark/>
          </w:tcPr>
          <w:p w14:paraId="623B96EB" w14:textId="77777777" w:rsidR="008336B5" w:rsidRPr="00445D22" w:rsidRDefault="008336B5" w:rsidP="008336B5">
            <w:pPr>
              <w:spacing w:after="0" w:line="240" w:lineRule="auto"/>
              <w:jc w:val="center"/>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Vigente</w:t>
            </w:r>
          </w:p>
        </w:tc>
        <w:tc>
          <w:tcPr>
            <w:tcW w:w="841" w:type="pct"/>
            <w:tcBorders>
              <w:top w:val="nil"/>
              <w:left w:val="nil"/>
              <w:bottom w:val="single" w:sz="4" w:space="0" w:color="auto"/>
              <w:right w:val="nil"/>
            </w:tcBorders>
            <w:shd w:val="clear" w:color="auto" w:fill="auto"/>
            <w:noWrap/>
            <w:vAlign w:val="bottom"/>
            <w:hideMark/>
          </w:tcPr>
          <w:p w14:paraId="2319AA43" w14:textId="77777777" w:rsidR="008336B5" w:rsidRPr="00445D22" w:rsidRDefault="008336B5" w:rsidP="008336B5">
            <w:pPr>
              <w:spacing w:after="0" w:line="240" w:lineRule="auto"/>
              <w:jc w:val="center"/>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Ejecutado</w:t>
            </w:r>
          </w:p>
        </w:tc>
        <w:tc>
          <w:tcPr>
            <w:tcW w:w="883" w:type="pct"/>
            <w:tcBorders>
              <w:top w:val="nil"/>
              <w:left w:val="nil"/>
              <w:bottom w:val="single" w:sz="4" w:space="0" w:color="auto"/>
              <w:right w:val="nil"/>
            </w:tcBorders>
            <w:shd w:val="clear" w:color="auto" w:fill="auto"/>
            <w:noWrap/>
            <w:vAlign w:val="bottom"/>
            <w:hideMark/>
          </w:tcPr>
          <w:p w14:paraId="2AA58D9B" w14:textId="77777777" w:rsidR="008336B5" w:rsidRPr="00445D22" w:rsidRDefault="008336B5" w:rsidP="008336B5">
            <w:pPr>
              <w:spacing w:after="0" w:line="240" w:lineRule="auto"/>
              <w:jc w:val="center"/>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Saldo por ejecutar</w:t>
            </w:r>
          </w:p>
        </w:tc>
      </w:tr>
      <w:tr w:rsidR="008336B5" w:rsidRPr="00445D22" w14:paraId="38584FF3" w14:textId="77777777" w:rsidTr="008336B5">
        <w:trPr>
          <w:trHeight w:val="20"/>
        </w:trPr>
        <w:tc>
          <w:tcPr>
            <w:tcW w:w="2408" w:type="pct"/>
            <w:gridSpan w:val="2"/>
            <w:tcBorders>
              <w:top w:val="nil"/>
              <w:left w:val="nil"/>
              <w:bottom w:val="nil"/>
              <w:right w:val="nil"/>
            </w:tcBorders>
            <w:shd w:val="clear" w:color="auto" w:fill="auto"/>
            <w:noWrap/>
            <w:vAlign w:val="bottom"/>
            <w:hideMark/>
          </w:tcPr>
          <w:p w14:paraId="35AE50DB"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Grupo 000 "Servicios Personales"</w:t>
            </w:r>
          </w:p>
        </w:tc>
        <w:tc>
          <w:tcPr>
            <w:tcW w:w="868" w:type="pct"/>
            <w:tcBorders>
              <w:top w:val="nil"/>
              <w:left w:val="nil"/>
              <w:bottom w:val="nil"/>
              <w:right w:val="nil"/>
            </w:tcBorders>
            <w:shd w:val="clear" w:color="auto" w:fill="auto"/>
            <w:noWrap/>
            <w:vAlign w:val="bottom"/>
            <w:hideMark/>
          </w:tcPr>
          <w:p w14:paraId="7B60A7FD"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247,195,873.00</w:t>
            </w:r>
          </w:p>
        </w:tc>
        <w:tc>
          <w:tcPr>
            <w:tcW w:w="841" w:type="pct"/>
            <w:tcBorders>
              <w:top w:val="nil"/>
              <w:left w:val="nil"/>
              <w:bottom w:val="nil"/>
              <w:right w:val="nil"/>
            </w:tcBorders>
            <w:shd w:val="clear" w:color="auto" w:fill="auto"/>
            <w:noWrap/>
            <w:vAlign w:val="bottom"/>
            <w:hideMark/>
          </w:tcPr>
          <w:p w14:paraId="46198B39"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203,107,716.51</w:t>
            </w:r>
          </w:p>
        </w:tc>
        <w:tc>
          <w:tcPr>
            <w:tcW w:w="883" w:type="pct"/>
            <w:tcBorders>
              <w:top w:val="nil"/>
              <w:left w:val="nil"/>
              <w:bottom w:val="nil"/>
              <w:right w:val="nil"/>
            </w:tcBorders>
            <w:shd w:val="clear" w:color="auto" w:fill="auto"/>
            <w:noWrap/>
            <w:vAlign w:val="bottom"/>
            <w:hideMark/>
          </w:tcPr>
          <w:p w14:paraId="5CFEDC5A"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44,088,156.49</w:t>
            </w:r>
          </w:p>
        </w:tc>
      </w:tr>
      <w:tr w:rsidR="008336B5" w:rsidRPr="00445D22" w14:paraId="798CF23C" w14:textId="77777777" w:rsidTr="008336B5">
        <w:trPr>
          <w:trHeight w:val="20"/>
        </w:trPr>
        <w:tc>
          <w:tcPr>
            <w:tcW w:w="2408" w:type="pct"/>
            <w:gridSpan w:val="2"/>
            <w:tcBorders>
              <w:top w:val="nil"/>
              <w:left w:val="nil"/>
              <w:bottom w:val="nil"/>
              <w:right w:val="nil"/>
            </w:tcBorders>
            <w:shd w:val="clear" w:color="auto" w:fill="auto"/>
            <w:noWrap/>
            <w:vAlign w:val="bottom"/>
            <w:hideMark/>
          </w:tcPr>
          <w:p w14:paraId="2EFFDC4B"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Grupo 100 "Servicios No Personales"</w:t>
            </w:r>
          </w:p>
        </w:tc>
        <w:tc>
          <w:tcPr>
            <w:tcW w:w="868" w:type="pct"/>
            <w:tcBorders>
              <w:top w:val="nil"/>
              <w:left w:val="nil"/>
              <w:bottom w:val="nil"/>
              <w:right w:val="nil"/>
            </w:tcBorders>
            <w:shd w:val="clear" w:color="auto" w:fill="auto"/>
            <w:noWrap/>
            <w:vAlign w:val="bottom"/>
            <w:hideMark/>
          </w:tcPr>
          <w:p w14:paraId="28B2F9DF"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43,182,594.00</w:t>
            </w:r>
          </w:p>
        </w:tc>
        <w:tc>
          <w:tcPr>
            <w:tcW w:w="841" w:type="pct"/>
            <w:tcBorders>
              <w:top w:val="nil"/>
              <w:left w:val="nil"/>
              <w:bottom w:val="nil"/>
              <w:right w:val="nil"/>
            </w:tcBorders>
            <w:shd w:val="clear" w:color="auto" w:fill="auto"/>
            <w:noWrap/>
            <w:vAlign w:val="bottom"/>
            <w:hideMark/>
          </w:tcPr>
          <w:p w14:paraId="7528A491"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25,241,681.75</w:t>
            </w:r>
          </w:p>
        </w:tc>
        <w:tc>
          <w:tcPr>
            <w:tcW w:w="883" w:type="pct"/>
            <w:tcBorders>
              <w:top w:val="nil"/>
              <w:left w:val="nil"/>
              <w:bottom w:val="nil"/>
              <w:right w:val="nil"/>
            </w:tcBorders>
            <w:shd w:val="clear" w:color="auto" w:fill="auto"/>
            <w:noWrap/>
            <w:vAlign w:val="bottom"/>
            <w:hideMark/>
          </w:tcPr>
          <w:p w14:paraId="333E5699"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17,940,912.25</w:t>
            </w:r>
          </w:p>
        </w:tc>
      </w:tr>
      <w:tr w:rsidR="008336B5" w:rsidRPr="00445D22" w14:paraId="30A30259" w14:textId="77777777" w:rsidTr="008336B5">
        <w:trPr>
          <w:trHeight w:val="20"/>
        </w:trPr>
        <w:tc>
          <w:tcPr>
            <w:tcW w:w="2408" w:type="pct"/>
            <w:gridSpan w:val="2"/>
            <w:tcBorders>
              <w:top w:val="nil"/>
              <w:left w:val="nil"/>
              <w:bottom w:val="nil"/>
              <w:right w:val="nil"/>
            </w:tcBorders>
            <w:shd w:val="clear" w:color="auto" w:fill="auto"/>
            <w:noWrap/>
            <w:vAlign w:val="bottom"/>
            <w:hideMark/>
          </w:tcPr>
          <w:p w14:paraId="2F35F304"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Grupo 200 "Materiales Y Suministros"</w:t>
            </w:r>
          </w:p>
        </w:tc>
        <w:tc>
          <w:tcPr>
            <w:tcW w:w="868" w:type="pct"/>
            <w:tcBorders>
              <w:top w:val="nil"/>
              <w:left w:val="nil"/>
              <w:bottom w:val="nil"/>
              <w:right w:val="nil"/>
            </w:tcBorders>
            <w:shd w:val="clear" w:color="auto" w:fill="auto"/>
            <w:noWrap/>
            <w:vAlign w:val="bottom"/>
            <w:hideMark/>
          </w:tcPr>
          <w:p w14:paraId="43B8A6D0"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9,545,589.00</w:t>
            </w:r>
          </w:p>
        </w:tc>
        <w:tc>
          <w:tcPr>
            <w:tcW w:w="841" w:type="pct"/>
            <w:tcBorders>
              <w:top w:val="nil"/>
              <w:left w:val="nil"/>
              <w:bottom w:val="nil"/>
              <w:right w:val="nil"/>
            </w:tcBorders>
            <w:shd w:val="clear" w:color="auto" w:fill="auto"/>
            <w:noWrap/>
            <w:vAlign w:val="bottom"/>
            <w:hideMark/>
          </w:tcPr>
          <w:p w14:paraId="1DE4428C"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6,358,127.61</w:t>
            </w:r>
          </w:p>
        </w:tc>
        <w:tc>
          <w:tcPr>
            <w:tcW w:w="883" w:type="pct"/>
            <w:tcBorders>
              <w:top w:val="nil"/>
              <w:left w:val="nil"/>
              <w:bottom w:val="nil"/>
              <w:right w:val="nil"/>
            </w:tcBorders>
            <w:shd w:val="clear" w:color="auto" w:fill="auto"/>
            <w:noWrap/>
            <w:vAlign w:val="bottom"/>
            <w:hideMark/>
          </w:tcPr>
          <w:p w14:paraId="58D9A530"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3,187,461.39</w:t>
            </w:r>
          </w:p>
        </w:tc>
      </w:tr>
      <w:tr w:rsidR="008336B5" w:rsidRPr="00445D22" w14:paraId="59ADA616" w14:textId="77777777" w:rsidTr="008336B5">
        <w:trPr>
          <w:trHeight w:val="20"/>
        </w:trPr>
        <w:tc>
          <w:tcPr>
            <w:tcW w:w="2408" w:type="pct"/>
            <w:gridSpan w:val="2"/>
            <w:tcBorders>
              <w:top w:val="nil"/>
              <w:left w:val="nil"/>
              <w:bottom w:val="nil"/>
              <w:right w:val="nil"/>
            </w:tcBorders>
            <w:shd w:val="clear" w:color="auto" w:fill="auto"/>
            <w:noWrap/>
            <w:vAlign w:val="bottom"/>
            <w:hideMark/>
          </w:tcPr>
          <w:p w14:paraId="789DD6FC" w14:textId="77777777" w:rsidR="008336B5" w:rsidRPr="00445D22" w:rsidRDefault="008336B5" w:rsidP="008336B5">
            <w:pPr>
              <w:spacing w:after="0" w:line="240" w:lineRule="auto"/>
              <w:ind w:left="1134" w:hanging="1134"/>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Grupo 300 "Propiedad, Planta, Equipo E Intangibles"</w:t>
            </w:r>
          </w:p>
        </w:tc>
        <w:tc>
          <w:tcPr>
            <w:tcW w:w="868" w:type="pct"/>
            <w:tcBorders>
              <w:top w:val="nil"/>
              <w:left w:val="nil"/>
              <w:bottom w:val="nil"/>
              <w:right w:val="nil"/>
            </w:tcBorders>
            <w:shd w:val="clear" w:color="auto" w:fill="auto"/>
            <w:noWrap/>
            <w:vAlign w:val="bottom"/>
            <w:hideMark/>
          </w:tcPr>
          <w:p w14:paraId="5A4D8CC3"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15,211,405.00</w:t>
            </w:r>
          </w:p>
        </w:tc>
        <w:tc>
          <w:tcPr>
            <w:tcW w:w="841" w:type="pct"/>
            <w:tcBorders>
              <w:top w:val="nil"/>
              <w:left w:val="nil"/>
              <w:bottom w:val="nil"/>
              <w:right w:val="nil"/>
            </w:tcBorders>
            <w:shd w:val="clear" w:color="auto" w:fill="auto"/>
            <w:noWrap/>
            <w:vAlign w:val="bottom"/>
            <w:hideMark/>
          </w:tcPr>
          <w:p w14:paraId="6C1E018F"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4,126,228.52</w:t>
            </w:r>
          </w:p>
        </w:tc>
        <w:tc>
          <w:tcPr>
            <w:tcW w:w="883" w:type="pct"/>
            <w:tcBorders>
              <w:top w:val="nil"/>
              <w:left w:val="nil"/>
              <w:bottom w:val="nil"/>
              <w:right w:val="nil"/>
            </w:tcBorders>
            <w:shd w:val="clear" w:color="auto" w:fill="auto"/>
            <w:noWrap/>
            <w:vAlign w:val="bottom"/>
            <w:hideMark/>
          </w:tcPr>
          <w:p w14:paraId="562EBA4B"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11,085,176.48</w:t>
            </w:r>
          </w:p>
        </w:tc>
      </w:tr>
      <w:tr w:rsidR="008336B5" w:rsidRPr="00445D22" w14:paraId="0C8D9C02" w14:textId="77777777" w:rsidTr="008336B5">
        <w:trPr>
          <w:trHeight w:val="20"/>
        </w:trPr>
        <w:tc>
          <w:tcPr>
            <w:tcW w:w="2408" w:type="pct"/>
            <w:gridSpan w:val="2"/>
            <w:tcBorders>
              <w:top w:val="nil"/>
              <w:left w:val="nil"/>
              <w:bottom w:val="nil"/>
              <w:right w:val="nil"/>
            </w:tcBorders>
            <w:shd w:val="clear" w:color="auto" w:fill="auto"/>
            <w:noWrap/>
            <w:vAlign w:val="bottom"/>
            <w:hideMark/>
          </w:tcPr>
          <w:p w14:paraId="75C987D6"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Grupo 400 "Transferencias Corrientes"</w:t>
            </w:r>
          </w:p>
        </w:tc>
        <w:tc>
          <w:tcPr>
            <w:tcW w:w="868" w:type="pct"/>
            <w:tcBorders>
              <w:top w:val="nil"/>
              <w:left w:val="nil"/>
              <w:bottom w:val="nil"/>
              <w:right w:val="nil"/>
            </w:tcBorders>
            <w:shd w:val="clear" w:color="auto" w:fill="auto"/>
            <w:noWrap/>
            <w:vAlign w:val="bottom"/>
            <w:hideMark/>
          </w:tcPr>
          <w:p w14:paraId="4F6D0185"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22,992,942.00</w:t>
            </w:r>
          </w:p>
        </w:tc>
        <w:tc>
          <w:tcPr>
            <w:tcW w:w="841" w:type="pct"/>
            <w:tcBorders>
              <w:top w:val="nil"/>
              <w:left w:val="nil"/>
              <w:bottom w:val="nil"/>
              <w:right w:val="nil"/>
            </w:tcBorders>
            <w:shd w:val="clear" w:color="auto" w:fill="auto"/>
            <w:noWrap/>
            <w:vAlign w:val="bottom"/>
            <w:hideMark/>
          </w:tcPr>
          <w:p w14:paraId="23E030FF"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19,351,368.04</w:t>
            </w:r>
          </w:p>
        </w:tc>
        <w:tc>
          <w:tcPr>
            <w:tcW w:w="883" w:type="pct"/>
            <w:tcBorders>
              <w:top w:val="nil"/>
              <w:left w:val="nil"/>
              <w:bottom w:val="nil"/>
              <w:right w:val="nil"/>
            </w:tcBorders>
            <w:shd w:val="clear" w:color="auto" w:fill="auto"/>
            <w:noWrap/>
            <w:vAlign w:val="bottom"/>
            <w:hideMark/>
          </w:tcPr>
          <w:p w14:paraId="6AC46CC4"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3,641,573.96</w:t>
            </w:r>
          </w:p>
        </w:tc>
      </w:tr>
      <w:tr w:rsidR="008336B5" w:rsidRPr="00445D22" w14:paraId="4D1822E8" w14:textId="77777777" w:rsidTr="008336B5">
        <w:trPr>
          <w:trHeight w:val="20"/>
        </w:trPr>
        <w:tc>
          <w:tcPr>
            <w:tcW w:w="2408" w:type="pct"/>
            <w:gridSpan w:val="2"/>
            <w:tcBorders>
              <w:top w:val="nil"/>
              <w:left w:val="nil"/>
              <w:bottom w:val="nil"/>
              <w:right w:val="nil"/>
            </w:tcBorders>
            <w:shd w:val="clear" w:color="auto" w:fill="auto"/>
            <w:noWrap/>
            <w:vAlign w:val="bottom"/>
            <w:hideMark/>
          </w:tcPr>
          <w:p w14:paraId="2FA6B57F"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Grupo 900 "Asignaciones Globales"</w:t>
            </w:r>
          </w:p>
        </w:tc>
        <w:tc>
          <w:tcPr>
            <w:tcW w:w="868" w:type="pct"/>
            <w:tcBorders>
              <w:top w:val="nil"/>
              <w:left w:val="nil"/>
              <w:bottom w:val="nil"/>
              <w:right w:val="nil"/>
            </w:tcBorders>
            <w:shd w:val="clear" w:color="auto" w:fill="auto"/>
            <w:noWrap/>
            <w:vAlign w:val="bottom"/>
            <w:hideMark/>
          </w:tcPr>
          <w:p w14:paraId="298D8887"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1,271,597.00</w:t>
            </w:r>
          </w:p>
        </w:tc>
        <w:tc>
          <w:tcPr>
            <w:tcW w:w="841" w:type="pct"/>
            <w:tcBorders>
              <w:top w:val="nil"/>
              <w:left w:val="nil"/>
              <w:bottom w:val="nil"/>
              <w:right w:val="nil"/>
            </w:tcBorders>
            <w:shd w:val="clear" w:color="auto" w:fill="auto"/>
            <w:noWrap/>
            <w:vAlign w:val="bottom"/>
            <w:hideMark/>
          </w:tcPr>
          <w:p w14:paraId="35BB7025"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769,296.64</w:t>
            </w:r>
          </w:p>
        </w:tc>
        <w:tc>
          <w:tcPr>
            <w:tcW w:w="883" w:type="pct"/>
            <w:tcBorders>
              <w:top w:val="nil"/>
              <w:left w:val="nil"/>
              <w:bottom w:val="nil"/>
              <w:right w:val="nil"/>
            </w:tcBorders>
            <w:shd w:val="clear" w:color="auto" w:fill="auto"/>
            <w:noWrap/>
            <w:vAlign w:val="bottom"/>
            <w:hideMark/>
          </w:tcPr>
          <w:p w14:paraId="72CA11C2" w14:textId="77777777" w:rsidR="008336B5" w:rsidRPr="00445D22" w:rsidRDefault="008336B5" w:rsidP="008336B5">
            <w:pPr>
              <w:spacing w:after="0" w:line="240" w:lineRule="auto"/>
              <w:jc w:val="right"/>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502,300.36</w:t>
            </w:r>
          </w:p>
        </w:tc>
      </w:tr>
      <w:tr w:rsidR="008336B5" w:rsidRPr="00445D22" w14:paraId="4D9AA7D5" w14:textId="77777777" w:rsidTr="008336B5">
        <w:trPr>
          <w:trHeight w:val="20"/>
        </w:trPr>
        <w:tc>
          <w:tcPr>
            <w:tcW w:w="227" w:type="pct"/>
            <w:tcBorders>
              <w:top w:val="single" w:sz="4" w:space="0" w:color="auto"/>
              <w:left w:val="nil"/>
              <w:bottom w:val="double" w:sz="6" w:space="0" w:color="auto"/>
              <w:right w:val="nil"/>
            </w:tcBorders>
            <w:shd w:val="clear" w:color="auto" w:fill="auto"/>
            <w:noWrap/>
            <w:vAlign w:val="bottom"/>
            <w:hideMark/>
          </w:tcPr>
          <w:p w14:paraId="31FFF99F" w14:textId="77777777" w:rsidR="008336B5" w:rsidRPr="00445D22" w:rsidRDefault="008336B5" w:rsidP="008336B5">
            <w:pPr>
              <w:spacing w:after="0" w:line="240" w:lineRule="auto"/>
              <w:rPr>
                <w:rFonts w:ascii="Calibri" w:eastAsia="Times New Roman" w:hAnsi="Calibri" w:cs="Calibri"/>
                <w:color w:val="000000"/>
                <w:sz w:val="20"/>
                <w:lang w:eastAsia="es-GT"/>
              </w:rPr>
            </w:pPr>
            <w:r w:rsidRPr="00445D22">
              <w:rPr>
                <w:rFonts w:ascii="Calibri" w:eastAsia="Times New Roman" w:hAnsi="Calibri" w:cs="Calibri"/>
                <w:color w:val="000000"/>
                <w:sz w:val="20"/>
                <w:lang w:eastAsia="es-GT"/>
              </w:rPr>
              <w:t> </w:t>
            </w:r>
          </w:p>
        </w:tc>
        <w:tc>
          <w:tcPr>
            <w:tcW w:w="2181" w:type="pct"/>
            <w:tcBorders>
              <w:top w:val="single" w:sz="4" w:space="0" w:color="auto"/>
              <w:left w:val="nil"/>
              <w:bottom w:val="double" w:sz="6" w:space="0" w:color="auto"/>
              <w:right w:val="nil"/>
            </w:tcBorders>
            <w:shd w:val="clear" w:color="auto" w:fill="auto"/>
            <w:noWrap/>
            <w:vAlign w:val="bottom"/>
            <w:hideMark/>
          </w:tcPr>
          <w:p w14:paraId="44180C59" w14:textId="77777777" w:rsidR="008336B5" w:rsidRPr="00445D22" w:rsidRDefault="008336B5" w:rsidP="008336B5">
            <w:pPr>
              <w:spacing w:after="0" w:line="240" w:lineRule="auto"/>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Total</w:t>
            </w:r>
          </w:p>
        </w:tc>
        <w:tc>
          <w:tcPr>
            <w:tcW w:w="868" w:type="pct"/>
            <w:tcBorders>
              <w:top w:val="single" w:sz="4" w:space="0" w:color="auto"/>
              <w:left w:val="nil"/>
              <w:bottom w:val="double" w:sz="6" w:space="0" w:color="auto"/>
              <w:right w:val="nil"/>
            </w:tcBorders>
            <w:shd w:val="clear" w:color="auto" w:fill="auto"/>
            <w:noWrap/>
            <w:vAlign w:val="bottom"/>
            <w:hideMark/>
          </w:tcPr>
          <w:p w14:paraId="699E8606" w14:textId="77777777" w:rsidR="008336B5" w:rsidRPr="00445D22" w:rsidRDefault="008336B5" w:rsidP="008336B5">
            <w:pPr>
              <w:spacing w:after="0" w:line="240" w:lineRule="auto"/>
              <w:jc w:val="right"/>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339,400,000.00</w:t>
            </w:r>
          </w:p>
        </w:tc>
        <w:tc>
          <w:tcPr>
            <w:tcW w:w="841" w:type="pct"/>
            <w:tcBorders>
              <w:top w:val="single" w:sz="4" w:space="0" w:color="auto"/>
              <w:left w:val="nil"/>
              <w:bottom w:val="double" w:sz="6" w:space="0" w:color="auto"/>
              <w:right w:val="nil"/>
            </w:tcBorders>
            <w:shd w:val="clear" w:color="auto" w:fill="auto"/>
            <w:noWrap/>
            <w:vAlign w:val="bottom"/>
            <w:hideMark/>
          </w:tcPr>
          <w:p w14:paraId="01889044" w14:textId="77777777" w:rsidR="008336B5" w:rsidRPr="00445D22" w:rsidRDefault="008336B5" w:rsidP="008336B5">
            <w:pPr>
              <w:spacing w:after="0" w:line="240" w:lineRule="auto"/>
              <w:jc w:val="right"/>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258,954,419.07</w:t>
            </w:r>
          </w:p>
        </w:tc>
        <w:tc>
          <w:tcPr>
            <w:tcW w:w="883" w:type="pct"/>
            <w:tcBorders>
              <w:top w:val="single" w:sz="4" w:space="0" w:color="auto"/>
              <w:left w:val="nil"/>
              <w:bottom w:val="double" w:sz="6" w:space="0" w:color="auto"/>
              <w:right w:val="nil"/>
            </w:tcBorders>
            <w:shd w:val="clear" w:color="auto" w:fill="auto"/>
            <w:noWrap/>
            <w:vAlign w:val="bottom"/>
            <w:hideMark/>
          </w:tcPr>
          <w:p w14:paraId="6F132C62" w14:textId="77777777" w:rsidR="008336B5" w:rsidRPr="00445D22" w:rsidRDefault="008336B5" w:rsidP="008336B5">
            <w:pPr>
              <w:spacing w:after="0" w:line="240" w:lineRule="auto"/>
              <w:jc w:val="right"/>
              <w:rPr>
                <w:rFonts w:ascii="Calibri" w:eastAsia="Times New Roman" w:hAnsi="Calibri" w:cs="Calibri"/>
                <w:b/>
                <w:bCs/>
                <w:color w:val="000000"/>
                <w:sz w:val="20"/>
                <w:lang w:eastAsia="es-GT"/>
              </w:rPr>
            </w:pPr>
            <w:r w:rsidRPr="00445D22">
              <w:rPr>
                <w:rFonts w:ascii="Calibri" w:eastAsia="Times New Roman" w:hAnsi="Calibri" w:cs="Calibri"/>
                <w:b/>
                <w:bCs/>
                <w:color w:val="000000"/>
                <w:sz w:val="20"/>
                <w:lang w:eastAsia="es-GT"/>
              </w:rPr>
              <w:t>80,445,580.93</w:t>
            </w:r>
          </w:p>
        </w:tc>
      </w:tr>
    </w:tbl>
    <w:p w14:paraId="412581E7" w14:textId="77777777" w:rsidR="006F388B" w:rsidRPr="00445D22" w:rsidRDefault="006F388B" w:rsidP="008336B5">
      <w:pPr>
        <w:pStyle w:val="ListParagraph"/>
        <w:spacing w:after="0" w:line="240" w:lineRule="auto"/>
        <w:ind w:left="0"/>
        <w:rPr>
          <w:rFonts w:ascii="Calibri" w:hAnsi="Calibri" w:cs="Calibri"/>
          <w:b/>
          <w:noProof/>
          <w:sz w:val="16"/>
          <w:szCs w:val="20"/>
          <w:lang w:eastAsia="es-GT"/>
        </w:rPr>
      </w:pPr>
      <w:r w:rsidRPr="00445D22">
        <w:rPr>
          <w:rFonts w:ascii="Calibri" w:hAnsi="Calibri" w:cs="Calibri"/>
          <w:sz w:val="16"/>
          <w:szCs w:val="20"/>
        </w:rPr>
        <w:t xml:space="preserve">Fuente: Sistema de Contabilidad Integrada -Sicoin- </w:t>
      </w:r>
      <w:r w:rsidR="00BE1653" w:rsidRPr="00445D22">
        <w:rPr>
          <w:rFonts w:ascii="Calibri" w:hAnsi="Calibri" w:cs="Calibri"/>
          <w:sz w:val="16"/>
          <w:szCs w:val="20"/>
        </w:rPr>
        <w:t>al 30 de noviembre MINFIN</w:t>
      </w:r>
      <w:r w:rsidRPr="00445D22">
        <w:rPr>
          <w:rFonts w:ascii="Calibri" w:hAnsi="Calibri" w:cs="Calibri"/>
          <w:sz w:val="16"/>
          <w:szCs w:val="20"/>
        </w:rPr>
        <w:t xml:space="preserve"> 2021</w:t>
      </w:r>
    </w:p>
    <w:p w14:paraId="56F5477E" w14:textId="77777777" w:rsidR="009D6EEE" w:rsidRPr="00445D22" w:rsidRDefault="009D6EEE" w:rsidP="009D6EEE">
      <w:pPr>
        <w:pStyle w:val="Default"/>
        <w:spacing w:after="167"/>
        <w:jc w:val="both"/>
        <w:rPr>
          <w:color w:val="auto"/>
        </w:rPr>
      </w:pPr>
    </w:p>
    <w:p w14:paraId="1AC49F0B" w14:textId="77777777" w:rsidR="00085275" w:rsidRPr="00445D22" w:rsidRDefault="00085275" w:rsidP="00085275">
      <w:pPr>
        <w:pStyle w:val="Default"/>
        <w:spacing w:after="167"/>
        <w:jc w:val="both"/>
        <w:rPr>
          <w:color w:val="auto"/>
        </w:rPr>
      </w:pPr>
      <w:r w:rsidRPr="00445D22">
        <w:rPr>
          <w:color w:val="auto"/>
        </w:rPr>
        <w:t>Como se puede observar el grupo de gasto con más porcentaje de asignación presupuestaria es el 000 “Servicios Personales”, que, de seguir con el nivel de ejecución a la fecha, se podría cerrar la ejecución de 2021 arriba del 90%.</w:t>
      </w:r>
    </w:p>
    <w:p w14:paraId="04161C8D" w14:textId="77777777" w:rsidR="00085275" w:rsidRPr="00445D22" w:rsidRDefault="00085275" w:rsidP="00085275">
      <w:pPr>
        <w:pStyle w:val="Default"/>
        <w:spacing w:after="167"/>
        <w:jc w:val="both"/>
        <w:rPr>
          <w:color w:val="auto"/>
        </w:rPr>
      </w:pPr>
      <w:r w:rsidRPr="00445D22">
        <w:rPr>
          <w:color w:val="auto"/>
        </w:rPr>
        <w:t>Para el grupo de gasto 100 “Servicios no personales”, tiene el segundo lugar en asignación presupuestaria, sin embargo, su nivel de ejecución (58.4%) se debe a que no se han concluido los eventos para contratación de servicios y licencias que respaldan los servicios informáticos</w:t>
      </w:r>
      <w:r w:rsidR="00B80002" w:rsidRPr="00445D22">
        <w:rPr>
          <w:color w:val="auto"/>
        </w:rPr>
        <w:t xml:space="preserve"> </w:t>
      </w:r>
      <w:r w:rsidRPr="00445D22">
        <w:rPr>
          <w:color w:val="auto"/>
        </w:rPr>
        <w:t xml:space="preserve">en el presente ejercicio fiscal. </w:t>
      </w:r>
    </w:p>
    <w:p w14:paraId="5F51FF7F" w14:textId="77777777" w:rsidR="00085275" w:rsidRPr="00445D22" w:rsidRDefault="00085275" w:rsidP="00085275">
      <w:pPr>
        <w:pStyle w:val="Default"/>
        <w:spacing w:after="167"/>
        <w:jc w:val="both"/>
        <w:rPr>
          <w:color w:val="auto"/>
        </w:rPr>
      </w:pPr>
      <w:r w:rsidRPr="00445D22">
        <w:rPr>
          <w:color w:val="auto"/>
        </w:rPr>
        <w:t>El grupo 400 “Transferencias corrientes” ha ejecutado el 84% del presupuesto vigente ya que dentro del mismo se encuentra el gasto de pago de prestaciones laborales, siendo atendido en su totalidad todos los expedientes de personal que se ha retirado voluntariamente de este Ministerio en el transcurso del presente año, sin embargo existen más  expedientes de personal que se ha retirado</w:t>
      </w:r>
      <w:r w:rsidR="00BE1653" w:rsidRPr="00445D22">
        <w:rPr>
          <w:color w:val="auto"/>
        </w:rPr>
        <w:t>.</w:t>
      </w:r>
    </w:p>
    <w:p w14:paraId="67C3A6C4" w14:textId="77777777" w:rsidR="00085275" w:rsidRPr="00445D22" w:rsidRDefault="00085275" w:rsidP="00085275">
      <w:pPr>
        <w:pStyle w:val="Default"/>
        <w:spacing w:after="167"/>
        <w:jc w:val="both"/>
        <w:rPr>
          <w:color w:val="auto"/>
        </w:rPr>
      </w:pPr>
      <w:r w:rsidRPr="00445D22">
        <w:rPr>
          <w:color w:val="auto"/>
        </w:rPr>
        <w:lastRenderedPageBreak/>
        <w:t>Grupo 900 “Asignaciones globales” ha llegado al 60 % de la ejecución derivado del pago de sentencias judiciales de las jurisdicciones respectivas relacionadas a demandas legales ante el Ministerio de Finanzas Publicas, el grupo de gasto en el tercer cuatrimestre se vio incrementado en virtud que se presentaron casos de reinstalaciones (sueldos caídos) y  pagos por concepto de sentencias judiciales a favor de personal del MFP.</w:t>
      </w:r>
    </w:p>
    <w:p w14:paraId="57E1A22A" w14:textId="0482026B" w:rsidR="00085275" w:rsidRDefault="00085275" w:rsidP="00085275">
      <w:pPr>
        <w:pStyle w:val="Default"/>
        <w:spacing w:after="171"/>
        <w:jc w:val="both"/>
        <w:rPr>
          <w:color w:val="auto"/>
        </w:rPr>
      </w:pPr>
      <w:r w:rsidRPr="00445D22">
        <w:rPr>
          <w:color w:val="auto"/>
        </w:rPr>
        <w:t>El Grupo 200 “Materiales y suministros” y el 300 “Propiedad, plana, equipo e intangibles”, por tener objetos de gasto que conllevan procesos administrativos de compras, dependerán de las adjudicaciones que se estarán efectuando próximamente para el abastecimiento de materiales y suministros, así como la adquisición de equipo de cómputo a cargo de las Unidades Ejecutoras respectivas.</w:t>
      </w:r>
    </w:p>
    <w:p w14:paraId="0AA36A49" w14:textId="77777777" w:rsidR="00063ED4" w:rsidRPr="00445D22" w:rsidRDefault="00063ED4" w:rsidP="00085275">
      <w:pPr>
        <w:pStyle w:val="Default"/>
        <w:spacing w:after="171"/>
        <w:jc w:val="both"/>
        <w:rPr>
          <w:color w:val="auto"/>
        </w:rPr>
      </w:pPr>
    </w:p>
    <w:p w14:paraId="061713DB" w14:textId="77777777" w:rsidR="0035671D" w:rsidRPr="00445D22" w:rsidRDefault="0035671D" w:rsidP="00396164">
      <w:pPr>
        <w:pStyle w:val="ListParagraph"/>
        <w:numPr>
          <w:ilvl w:val="0"/>
          <w:numId w:val="8"/>
        </w:numPr>
        <w:spacing w:after="0" w:line="240" w:lineRule="auto"/>
        <w:ind w:left="360"/>
        <w:rPr>
          <w:rFonts w:ascii="Calibri" w:hAnsi="Calibri" w:cs="Calibri"/>
          <w:b/>
          <w:sz w:val="24"/>
          <w:szCs w:val="24"/>
        </w:rPr>
      </w:pPr>
      <w:r w:rsidRPr="00445D22">
        <w:rPr>
          <w:rFonts w:ascii="Calibri" w:hAnsi="Calibri" w:cs="Calibri"/>
          <w:b/>
          <w:sz w:val="24"/>
          <w:szCs w:val="24"/>
        </w:rPr>
        <w:t>Gráfica y descripción del presupuesto vigente, ejecutado y saldo por ejecutar por grupo de gasto.</w:t>
      </w:r>
    </w:p>
    <w:p w14:paraId="3E616FEE" w14:textId="77777777" w:rsidR="0035671D" w:rsidRPr="00445D22" w:rsidRDefault="0035671D" w:rsidP="0035671D">
      <w:pPr>
        <w:pStyle w:val="ListParagraph"/>
        <w:spacing w:after="0" w:line="240" w:lineRule="auto"/>
        <w:ind w:left="360"/>
        <w:rPr>
          <w:rFonts w:ascii="Calibri" w:hAnsi="Calibri" w:cs="Calibri"/>
          <w:b/>
          <w:noProof/>
          <w:lang w:eastAsia="es-GT"/>
        </w:rPr>
      </w:pPr>
    </w:p>
    <w:p w14:paraId="3B0FE038" w14:textId="77777777" w:rsidR="003D5607" w:rsidRPr="00445D22" w:rsidRDefault="00DB3CB9" w:rsidP="0035671D">
      <w:pPr>
        <w:pStyle w:val="ListParagraph"/>
        <w:spacing w:after="0" w:line="240" w:lineRule="auto"/>
        <w:ind w:left="360"/>
        <w:rPr>
          <w:rFonts w:ascii="Calibri" w:hAnsi="Calibri" w:cs="Calibri"/>
          <w:b/>
          <w:noProof/>
          <w:lang w:eastAsia="es-GT"/>
        </w:rPr>
      </w:pPr>
      <w:r w:rsidRPr="00445D22">
        <w:rPr>
          <w:rFonts w:ascii="Calibri" w:hAnsi="Calibri" w:cs="Calibri"/>
          <w:noProof/>
          <w:lang w:eastAsia="es-GT"/>
        </w:rPr>
        <w:drawing>
          <wp:anchor distT="0" distB="0" distL="114300" distR="114300" simplePos="0" relativeHeight="251678720" behindDoc="1" locked="0" layoutInCell="1" allowOverlap="1" wp14:anchorId="70D3F8C7" wp14:editId="06220E13">
            <wp:simplePos x="0" y="0"/>
            <wp:positionH relativeFrom="column">
              <wp:posOffset>-652912</wp:posOffset>
            </wp:positionH>
            <wp:positionV relativeFrom="paragraph">
              <wp:posOffset>48895</wp:posOffset>
            </wp:positionV>
            <wp:extent cx="7113270" cy="3265170"/>
            <wp:effectExtent l="0" t="0" r="0" b="11430"/>
            <wp:wrapNone/>
            <wp:docPr id="18" name="Gráfico 1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B198741"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4D66AA52"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76A0E03B"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14C72C79"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3801ED4F"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3CF9B0E3"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5203CF5A"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77369632"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042CE897"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49E39609"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3AFFC56A"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01454DCD"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5AC6603A"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0766781A"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011A3306"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65241BC8"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354AC71D"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10C5615B"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7F348DE9"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1E352A25" w14:textId="77777777" w:rsidR="00DB3CB9" w:rsidRPr="00445D22" w:rsidRDefault="00DB3CB9" w:rsidP="0035671D">
      <w:pPr>
        <w:pStyle w:val="ListParagraph"/>
        <w:spacing w:after="0" w:line="240" w:lineRule="auto"/>
        <w:ind w:left="360"/>
        <w:rPr>
          <w:rFonts w:ascii="Calibri" w:hAnsi="Calibri" w:cs="Calibri"/>
          <w:b/>
          <w:noProof/>
          <w:lang w:eastAsia="es-GT"/>
        </w:rPr>
      </w:pPr>
    </w:p>
    <w:p w14:paraId="789E82B6" w14:textId="77777777" w:rsidR="00B56818" w:rsidRPr="00445D22" w:rsidRDefault="00B56818" w:rsidP="0035671D">
      <w:pPr>
        <w:pStyle w:val="ListParagraph"/>
        <w:spacing w:after="0" w:line="240" w:lineRule="auto"/>
        <w:ind w:left="360"/>
        <w:rPr>
          <w:rFonts w:ascii="Calibri" w:hAnsi="Calibri" w:cs="Calibri"/>
          <w:b/>
          <w:noProof/>
          <w:lang w:eastAsia="es-GT"/>
        </w:rPr>
      </w:pPr>
    </w:p>
    <w:p w14:paraId="740985F0" w14:textId="77777777" w:rsidR="00085275" w:rsidRPr="00445D22" w:rsidRDefault="00085275" w:rsidP="00085275">
      <w:pPr>
        <w:pStyle w:val="Default"/>
        <w:spacing w:after="171"/>
        <w:jc w:val="both"/>
        <w:rPr>
          <w:color w:val="auto"/>
        </w:rPr>
      </w:pPr>
      <w:r w:rsidRPr="00445D22">
        <w:rPr>
          <w:color w:val="auto"/>
        </w:rPr>
        <w:t xml:space="preserve">El 73% del presupuesto del Ministerio de Finanzas Públicas lo constituye el gasto de nómina de sueldos y salario; y el 003 % que es el menor porcentaje es para pago de sentencias judiciales. El resto está inmerso entre los otros grupos de gasto de bienes, servicios y equipamiento; entre estos, resaltan las asignaciones del grupo 100 “Servicios no personales”, que representa el 13%, dentro de los cuales se pueden mencionar los pagos que deben realizarse para el respaldo y soporte que se brinda a las entidades públicas a </w:t>
      </w:r>
      <w:r w:rsidRPr="00445D22">
        <w:rPr>
          <w:color w:val="auto"/>
        </w:rPr>
        <w:lastRenderedPageBreak/>
        <w:t xml:space="preserve">nivel nacional, a través de los diferentes sistemas informáticos (SICOIN, SIGES, GUATECOMPRAS, GUATENÓMINAS ETC.), los porcentajes anteriores </w:t>
      </w:r>
      <w:r w:rsidR="00FE5882" w:rsidRPr="00445D22">
        <w:rPr>
          <w:color w:val="auto"/>
        </w:rPr>
        <w:t xml:space="preserve">mencionados corresponden a la participación de cada grupo de gasto sobre el presupuesto vigente. </w:t>
      </w:r>
    </w:p>
    <w:p w14:paraId="2C6431EA" w14:textId="77777777" w:rsidR="00085275" w:rsidRPr="00445D22" w:rsidRDefault="00085275" w:rsidP="009D6EEE">
      <w:pPr>
        <w:spacing w:after="0" w:line="240" w:lineRule="auto"/>
        <w:jc w:val="both"/>
        <w:rPr>
          <w:rFonts w:ascii="Calibri" w:hAnsi="Calibri" w:cs="Calibri"/>
          <w:sz w:val="24"/>
          <w:szCs w:val="24"/>
        </w:rPr>
      </w:pPr>
    </w:p>
    <w:p w14:paraId="1ADB9CE0" w14:textId="77777777" w:rsidR="0035671D" w:rsidRPr="00445D22" w:rsidRDefault="0035671D" w:rsidP="00396164">
      <w:pPr>
        <w:pStyle w:val="ListParagraph"/>
        <w:numPr>
          <w:ilvl w:val="0"/>
          <w:numId w:val="8"/>
        </w:numPr>
        <w:spacing w:after="0" w:line="240" w:lineRule="auto"/>
        <w:ind w:left="360"/>
        <w:rPr>
          <w:rFonts w:ascii="Calibri" w:hAnsi="Calibri" w:cs="Calibri"/>
          <w:b/>
          <w:sz w:val="24"/>
          <w:szCs w:val="24"/>
        </w:rPr>
      </w:pPr>
      <w:r w:rsidRPr="00445D22">
        <w:rPr>
          <w:rFonts w:ascii="Calibri" w:hAnsi="Calibri" w:cs="Calibri"/>
          <w:b/>
          <w:sz w:val="24"/>
          <w:szCs w:val="24"/>
        </w:rPr>
        <w:t xml:space="preserve">Gráfica y descripción del presupuesto vigente, ejecutado y saldo por ejecutar del grupo de gasto de servicios personales (grupo </w:t>
      </w:r>
      <w:r w:rsidR="004B5ABB" w:rsidRPr="00445D22">
        <w:rPr>
          <w:rFonts w:ascii="Calibri" w:hAnsi="Calibri" w:cs="Calibri"/>
          <w:b/>
          <w:sz w:val="24"/>
          <w:szCs w:val="24"/>
        </w:rPr>
        <w:t>0</w:t>
      </w:r>
      <w:r w:rsidRPr="00445D22">
        <w:rPr>
          <w:rFonts w:ascii="Calibri" w:hAnsi="Calibri" w:cs="Calibri"/>
          <w:b/>
          <w:sz w:val="24"/>
          <w:szCs w:val="24"/>
        </w:rPr>
        <w:t>).</w:t>
      </w:r>
    </w:p>
    <w:p w14:paraId="761E000F" w14:textId="77777777" w:rsidR="00214DF0" w:rsidRPr="00445D22" w:rsidRDefault="00214DF0" w:rsidP="00214DF0">
      <w:pPr>
        <w:spacing w:after="0" w:line="240" w:lineRule="auto"/>
        <w:rPr>
          <w:rFonts w:ascii="Calibri" w:hAnsi="Calibri" w:cs="Calibri"/>
          <w:sz w:val="24"/>
          <w:szCs w:val="24"/>
        </w:rPr>
      </w:pPr>
    </w:p>
    <w:p w14:paraId="77F5329C" w14:textId="77777777" w:rsidR="00FE5882" w:rsidRPr="00445D22" w:rsidRDefault="00DB3CB9" w:rsidP="00214DF0">
      <w:pPr>
        <w:spacing w:after="0" w:line="240" w:lineRule="auto"/>
        <w:rPr>
          <w:rFonts w:ascii="Calibri" w:hAnsi="Calibri" w:cs="Calibri"/>
          <w:sz w:val="24"/>
          <w:szCs w:val="24"/>
        </w:rPr>
      </w:pPr>
      <w:r w:rsidRPr="00445D22">
        <w:rPr>
          <w:rFonts w:ascii="Calibri" w:hAnsi="Calibri" w:cs="Calibri"/>
          <w:noProof/>
          <w:lang w:eastAsia="es-GT"/>
        </w:rPr>
        <w:drawing>
          <wp:inline distT="0" distB="0" distL="0" distR="0" wp14:anchorId="71FDF4D8" wp14:editId="0A8B5D98">
            <wp:extent cx="5581402" cy="3253839"/>
            <wp:effectExtent l="0" t="0" r="0" b="10160"/>
            <wp:docPr id="19" name="Gráfico 19">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A391EC" w14:textId="77777777" w:rsidR="00214DF0" w:rsidRPr="00445D22" w:rsidRDefault="00214DF0" w:rsidP="00214DF0">
      <w:pPr>
        <w:spacing w:after="0" w:line="240" w:lineRule="auto"/>
        <w:rPr>
          <w:rFonts w:ascii="Calibri" w:hAnsi="Calibri" w:cs="Calibri"/>
          <w:sz w:val="24"/>
          <w:szCs w:val="24"/>
        </w:rPr>
      </w:pPr>
    </w:p>
    <w:p w14:paraId="6221B8F7" w14:textId="77777777" w:rsidR="00B56818" w:rsidRPr="00445D22" w:rsidRDefault="00B56818" w:rsidP="00B56818">
      <w:pPr>
        <w:pStyle w:val="ListParagraph"/>
        <w:spacing w:after="0" w:line="240" w:lineRule="auto"/>
        <w:ind w:left="360"/>
        <w:rPr>
          <w:rFonts w:ascii="Calibri" w:hAnsi="Calibri" w:cs="Calibri"/>
          <w:b/>
          <w:noProof/>
          <w:lang w:eastAsia="es-GT"/>
        </w:rPr>
      </w:pPr>
    </w:p>
    <w:p w14:paraId="42C1B858" w14:textId="77777777" w:rsidR="0035671D" w:rsidRPr="00445D22" w:rsidRDefault="0035671D" w:rsidP="00396164">
      <w:pPr>
        <w:pStyle w:val="ListParagraph"/>
        <w:numPr>
          <w:ilvl w:val="0"/>
          <w:numId w:val="8"/>
        </w:numPr>
        <w:spacing w:after="0" w:line="240" w:lineRule="auto"/>
        <w:ind w:left="360"/>
        <w:rPr>
          <w:rFonts w:ascii="Calibri" w:hAnsi="Calibri" w:cs="Calibri"/>
          <w:b/>
          <w:sz w:val="24"/>
          <w:szCs w:val="24"/>
        </w:rPr>
      </w:pPr>
      <w:r w:rsidRPr="00445D22">
        <w:rPr>
          <w:rFonts w:ascii="Calibri" w:hAnsi="Calibri" w:cs="Calibri"/>
          <w:b/>
          <w:sz w:val="24"/>
          <w:szCs w:val="24"/>
        </w:rPr>
        <w:t>Explicación de la importancia de la erogación en servicios personales.</w:t>
      </w:r>
    </w:p>
    <w:p w14:paraId="1CC9CEEE" w14:textId="77777777" w:rsidR="0035671D" w:rsidRPr="00445D22" w:rsidRDefault="0035671D" w:rsidP="0035671D">
      <w:pPr>
        <w:pStyle w:val="ListParagraph"/>
        <w:spacing w:after="0" w:line="240" w:lineRule="auto"/>
        <w:ind w:left="360"/>
        <w:rPr>
          <w:rFonts w:ascii="Calibri" w:hAnsi="Calibri" w:cs="Calibri"/>
          <w:sz w:val="24"/>
          <w:szCs w:val="24"/>
        </w:rPr>
      </w:pPr>
    </w:p>
    <w:p w14:paraId="05143477" w14:textId="77777777" w:rsidR="00085275" w:rsidRPr="00445D22" w:rsidRDefault="00085275" w:rsidP="00085275">
      <w:pPr>
        <w:pStyle w:val="Default"/>
        <w:spacing w:after="171"/>
        <w:jc w:val="both"/>
        <w:rPr>
          <w:color w:val="auto"/>
        </w:rPr>
      </w:pPr>
      <w:r w:rsidRPr="00445D22">
        <w:rPr>
          <w:color w:val="auto"/>
        </w:rPr>
        <w:t xml:space="preserve">Al 30 de  noviembre de 2022 se ha ejecutado el 82 % del total asignado al Grupo de Gasto 000 “Servicios Personales” , correspondiente a los renglones de gasto 011 y 022 con sus respectivos componentes; así como los servicios con cargo a los renglones 021 y 029. </w:t>
      </w:r>
    </w:p>
    <w:p w14:paraId="732D6EF4" w14:textId="77777777" w:rsidR="00085275" w:rsidRPr="00445D22" w:rsidRDefault="00085275" w:rsidP="00085275">
      <w:pPr>
        <w:pStyle w:val="Default"/>
        <w:spacing w:after="171"/>
        <w:jc w:val="both"/>
        <w:rPr>
          <w:color w:val="auto"/>
        </w:rPr>
      </w:pPr>
      <w:r w:rsidRPr="00445D22">
        <w:rPr>
          <w:color w:val="auto"/>
        </w:rPr>
        <w:t xml:space="preserve">Es importante indicar que el Ministerio de Finanzas Públicas por ser una institución de apoyo para el resto de las dependencias del Estado sus actividades son encaminadas a brindar soporte en los Sistemas Financieros a través de personal administrativo y técnico a estas, por lo que reviste de importancia que el 76% de su presupuesto sea destinado al grupo 000 “Servicios Personales” que aglutina las remuneraciones a elemento humano indicado. </w:t>
      </w:r>
    </w:p>
    <w:p w14:paraId="3106698C" w14:textId="77777777" w:rsidR="00CC2226" w:rsidRPr="00445D22" w:rsidRDefault="00CC2226" w:rsidP="009D6EEE">
      <w:pPr>
        <w:pStyle w:val="Default"/>
        <w:spacing w:after="171"/>
        <w:jc w:val="both"/>
        <w:rPr>
          <w:color w:val="1F497D" w:themeColor="text2"/>
        </w:rPr>
      </w:pPr>
      <w:r w:rsidRPr="00445D22">
        <w:rPr>
          <w:color w:val="auto"/>
        </w:rPr>
        <w:t xml:space="preserve">El Ministerio para su funcionamiento y alcanzar los objetivos estratégicos </w:t>
      </w:r>
      <w:r w:rsidR="0004290A" w:rsidRPr="00445D22">
        <w:rPr>
          <w:color w:val="auto"/>
        </w:rPr>
        <w:t xml:space="preserve">y operativos </w:t>
      </w:r>
      <w:r w:rsidRPr="00445D22">
        <w:rPr>
          <w:color w:val="auto"/>
        </w:rPr>
        <w:t>institucionales cuenta con un total de 1</w:t>
      </w:r>
      <w:r w:rsidR="001812A4" w:rsidRPr="00445D22">
        <w:rPr>
          <w:color w:val="auto"/>
        </w:rPr>
        <w:t>,</w:t>
      </w:r>
      <w:r w:rsidR="00203360" w:rsidRPr="00445D22">
        <w:rPr>
          <w:color w:val="auto"/>
        </w:rPr>
        <w:t>338</w:t>
      </w:r>
      <w:r w:rsidRPr="00445D22">
        <w:rPr>
          <w:color w:val="auto"/>
        </w:rPr>
        <w:t xml:space="preserve"> personas que prestan sus servicios a esta </w:t>
      </w:r>
      <w:r w:rsidR="0004290A" w:rsidRPr="00445D22">
        <w:rPr>
          <w:color w:val="auto"/>
        </w:rPr>
        <w:lastRenderedPageBreak/>
        <w:t>i</w:t>
      </w:r>
      <w:r w:rsidRPr="00445D22">
        <w:rPr>
          <w:color w:val="auto"/>
        </w:rPr>
        <w:t xml:space="preserve">nstitución y que contribuyen al cumplimiento del que hacer del </w:t>
      </w:r>
      <w:r w:rsidR="0004290A" w:rsidRPr="00445D22">
        <w:rPr>
          <w:color w:val="auto"/>
        </w:rPr>
        <w:t>M</w:t>
      </w:r>
      <w:r w:rsidR="00203360" w:rsidRPr="00445D22">
        <w:rPr>
          <w:color w:val="auto"/>
        </w:rPr>
        <w:t>INFIN</w:t>
      </w:r>
      <w:r w:rsidRPr="00445D22">
        <w:rPr>
          <w:color w:val="auto"/>
        </w:rPr>
        <w:t xml:space="preserve">, el cual por la naturaleza de su función, es una institución de la cual depende el funcionamiento de un total de 497 entidades del Sector Público de Guatemala, las cuales brindan servicios básicos a la población guatemalteca en diferentes ámbitos, dentro de los cuales </w:t>
      </w:r>
      <w:r w:rsidR="00085275" w:rsidRPr="00445D22">
        <w:rPr>
          <w:color w:val="auto"/>
        </w:rPr>
        <w:t xml:space="preserve">se puede </w:t>
      </w:r>
      <w:r w:rsidRPr="00445D22">
        <w:rPr>
          <w:color w:val="auto"/>
        </w:rPr>
        <w:t>mencionar</w:t>
      </w:r>
      <w:r w:rsidR="0004290A" w:rsidRPr="00445D22">
        <w:rPr>
          <w:color w:val="auto"/>
        </w:rPr>
        <w:t>:</w:t>
      </w:r>
      <w:r w:rsidRPr="00445D22">
        <w:rPr>
          <w:color w:val="auto"/>
        </w:rPr>
        <w:t xml:space="preserve"> educación, salud, infraestructura, seguridad y </w:t>
      </w:r>
      <w:r w:rsidR="0004290A" w:rsidRPr="00445D22">
        <w:rPr>
          <w:color w:val="auto"/>
        </w:rPr>
        <w:t>j</w:t>
      </w:r>
      <w:r w:rsidRPr="00445D22">
        <w:rPr>
          <w:color w:val="auto"/>
        </w:rPr>
        <w:t xml:space="preserve">usticia. Con el fin de brindar una atención adecuada a </w:t>
      </w:r>
      <w:r w:rsidR="0004290A" w:rsidRPr="00445D22">
        <w:rPr>
          <w:color w:val="auto"/>
        </w:rPr>
        <w:t xml:space="preserve">los </w:t>
      </w:r>
      <w:r w:rsidRPr="00445D22">
        <w:rPr>
          <w:color w:val="auto"/>
        </w:rPr>
        <w:t xml:space="preserve">usuarios, </w:t>
      </w:r>
      <w:r w:rsidR="0004290A" w:rsidRPr="00445D22">
        <w:rPr>
          <w:color w:val="auto"/>
        </w:rPr>
        <w:t xml:space="preserve">el Ministerio </w:t>
      </w:r>
      <w:r w:rsidRPr="00445D22">
        <w:rPr>
          <w:color w:val="auto"/>
        </w:rPr>
        <w:t>cuenta con un total de 8</w:t>
      </w:r>
      <w:r w:rsidR="00203360" w:rsidRPr="00445D22">
        <w:rPr>
          <w:color w:val="auto"/>
        </w:rPr>
        <w:t>46</w:t>
      </w:r>
      <w:r w:rsidRPr="00445D22">
        <w:rPr>
          <w:color w:val="auto"/>
        </w:rPr>
        <w:t xml:space="preserve"> empleados contratados en renglón de gasto 011 “Personal Permanente”; 15</w:t>
      </w:r>
      <w:r w:rsidR="00203360" w:rsidRPr="00445D22">
        <w:rPr>
          <w:color w:val="auto"/>
        </w:rPr>
        <w:t>2</w:t>
      </w:r>
      <w:r w:rsidRPr="00445D22">
        <w:rPr>
          <w:color w:val="auto"/>
        </w:rPr>
        <w:t xml:space="preserve"> empleados contratados en renglón de gasto 021 “Personal Supernumerario” y 3</w:t>
      </w:r>
      <w:r w:rsidR="00203360" w:rsidRPr="00445D22">
        <w:rPr>
          <w:color w:val="auto"/>
        </w:rPr>
        <w:t>40</w:t>
      </w:r>
      <w:r w:rsidRPr="00445D22">
        <w:rPr>
          <w:color w:val="auto"/>
        </w:rPr>
        <w:t xml:space="preserve"> contratistas en renglón de gasto 029 “Otras remuneraciones del personal temporal”.</w:t>
      </w:r>
      <w:r w:rsidR="00E94617" w:rsidRPr="00445D22">
        <w:rPr>
          <w:color w:val="1F497D" w:themeColor="text2"/>
        </w:rPr>
        <w:t xml:space="preserve">  </w:t>
      </w:r>
    </w:p>
    <w:p w14:paraId="5E0BF0B5" w14:textId="77777777" w:rsidR="00FE5882" w:rsidRPr="00445D22" w:rsidRDefault="00FE5882" w:rsidP="009D6EEE">
      <w:pPr>
        <w:pStyle w:val="Default"/>
        <w:spacing w:after="171"/>
        <w:jc w:val="both"/>
        <w:rPr>
          <w:color w:val="1F497D" w:themeColor="text2"/>
        </w:rPr>
      </w:pPr>
    </w:p>
    <w:p w14:paraId="0B1E2939" w14:textId="77777777" w:rsidR="0035671D" w:rsidRPr="00445D22" w:rsidRDefault="0035671D" w:rsidP="00396164">
      <w:pPr>
        <w:pStyle w:val="ListParagraph"/>
        <w:numPr>
          <w:ilvl w:val="0"/>
          <w:numId w:val="8"/>
        </w:numPr>
        <w:spacing w:after="0" w:line="240" w:lineRule="auto"/>
        <w:ind w:left="360"/>
        <w:jc w:val="both"/>
        <w:rPr>
          <w:rFonts w:ascii="Calibri" w:hAnsi="Calibri" w:cs="Calibri"/>
          <w:b/>
          <w:sz w:val="24"/>
          <w:szCs w:val="24"/>
        </w:rPr>
      </w:pPr>
      <w:r w:rsidRPr="00445D22">
        <w:rPr>
          <w:rFonts w:ascii="Calibri" w:hAnsi="Calibri" w:cs="Calibri"/>
          <w:b/>
          <w:sz w:val="24"/>
          <w:szCs w:val="24"/>
        </w:rPr>
        <w:t>Gráfica y descripción del presupuesto vigente, ejecutado y saldo por ejecutar de la inversión en general.</w:t>
      </w:r>
    </w:p>
    <w:p w14:paraId="1F201E8A" w14:textId="77777777" w:rsidR="00261C1A" w:rsidRPr="00445D22" w:rsidRDefault="00261C1A" w:rsidP="00261C1A">
      <w:pPr>
        <w:spacing w:after="0" w:line="240" w:lineRule="auto"/>
        <w:jc w:val="both"/>
        <w:rPr>
          <w:rFonts w:ascii="Calibri" w:hAnsi="Calibri" w:cs="Calibri"/>
          <w:sz w:val="24"/>
          <w:szCs w:val="24"/>
        </w:rPr>
      </w:pPr>
    </w:p>
    <w:p w14:paraId="2E405BC4" w14:textId="77777777" w:rsidR="00261C1A" w:rsidRDefault="00B45A6E" w:rsidP="00261C1A">
      <w:pPr>
        <w:spacing w:after="0" w:line="240" w:lineRule="auto"/>
        <w:jc w:val="both"/>
        <w:rPr>
          <w:rFonts w:ascii="Times New Roman" w:hAnsi="Times New Roman" w:cs="Times New Roman"/>
          <w:sz w:val="24"/>
          <w:szCs w:val="24"/>
        </w:rPr>
      </w:pPr>
      <w:r w:rsidRPr="00A35E5B">
        <w:rPr>
          <w:noProof/>
          <w:shd w:val="clear" w:color="auto" w:fill="0F243E" w:themeFill="text2" w:themeFillShade="80"/>
          <w:lang w:eastAsia="es-GT"/>
        </w:rPr>
        <w:drawing>
          <wp:inline distT="0" distB="0" distL="0" distR="0" wp14:anchorId="3CEB172A" wp14:editId="59F11C68">
            <wp:extent cx="5522026" cy="3384468"/>
            <wp:effectExtent l="0" t="0" r="2540" b="6985"/>
            <wp:docPr id="20" name="Gráfico 20">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0D3A8D" w14:textId="77777777" w:rsidR="00261C1A" w:rsidRDefault="00261C1A" w:rsidP="00261C1A">
      <w:pPr>
        <w:spacing w:after="0" w:line="240" w:lineRule="auto"/>
        <w:jc w:val="both"/>
        <w:rPr>
          <w:rFonts w:ascii="Times New Roman" w:hAnsi="Times New Roman" w:cs="Times New Roman"/>
          <w:sz w:val="24"/>
          <w:szCs w:val="24"/>
        </w:rPr>
      </w:pPr>
    </w:p>
    <w:p w14:paraId="748C36F2" w14:textId="77777777" w:rsidR="00BB09C6" w:rsidRDefault="00BB09C6" w:rsidP="00BB09C6">
      <w:pPr>
        <w:spacing w:after="0" w:line="240" w:lineRule="auto"/>
        <w:rPr>
          <w:rFonts w:ascii="Times New Roman" w:hAnsi="Times New Roman" w:cs="Times New Roman"/>
          <w:sz w:val="20"/>
          <w:szCs w:val="20"/>
        </w:rPr>
      </w:pPr>
    </w:p>
    <w:p w14:paraId="4224C857" w14:textId="725F5B50" w:rsidR="00DF4A3F" w:rsidRDefault="00DF4A3F" w:rsidP="00DF4A3F">
      <w:pPr>
        <w:pStyle w:val="Default"/>
        <w:spacing w:after="171"/>
        <w:jc w:val="both"/>
        <w:rPr>
          <w:color w:val="auto"/>
        </w:rPr>
      </w:pPr>
      <w:r w:rsidRPr="00445D22">
        <w:rPr>
          <w:color w:val="auto"/>
        </w:rPr>
        <w:t xml:space="preserve">Como se indicó en el numeral anterior, las asignaciones vigentes del grupo de gasto 300 están destinadas a cubrir necesidades del subgrupo 32 “Maquinaria y Equipo”, principalmente, con un 63% en equipo de cómputo para las diferentes dependencias del Ministerio de Finanzas Públicas;  un 13% en Otras Maquinarias y Equipos en donde básicamente se incrementó para la adquisición de molinetes para acceso de personal, terminal de registro de visitantes del Ministerio, relojes biométricos y compra de aires acondicionados; el 7% lo representa el renglón Equipo para Comunicaciones, mismo que </w:t>
      </w:r>
      <w:r w:rsidRPr="00445D22">
        <w:rPr>
          <w:color w:val="auto"/>
        </w:rPr>
        <w:lastRenderedPageBreak/>
        <w:t>vario en función a la adquisición de Switches de FC para datos del Registro General de Adquisiciones del Estado y equipo de videoconferencias de otras dependencias y un 6% de Maquinaria y Equipo de Producción, renglón que ejecuta el Taller Nacional de Grabados en Acero dada la naturaleza de sus actividades.</w:t>
      </w:r>
    </w:p>
    <w:p w14:paraId="4F3EF004" w14:textId="77777777" w:rsidR="0010560D" w:rsidRPr="00445D22" w:rsidRDefault="0010560D" w:rsidP="00DF4A3F">
      <w:pPr>
        <w:pStyle w:val="Default"/>
        <w:spacing w:after="171"/>
        <w:jc w:val="both"/>
        <w:rPr>
          <w:color w:val="auto"/>
        </w:rPr>
      </w:pPr>
    </w:p>
    <w:p w14:paraId="18269723" w14:textId="77777777" w:rsidR="0035671D" w:rsidRPr="00445D22" w:rsidRDefault="0035671D" w:rsidP="00396164">
      <w:pPr>
        <w:pStyle w:val="ListParagraph"/>
        <w:numPr>
          <w:ilvl w:val="0"/>
          <w:numId w:val="8"/>
        </w:numPr>
        <w:spacing w:after="0" w:line="240" w:lineRule="auto"/>
        <w:ind w:left="360"/>
        <w:rPr>
          <w:rFonts w:ascii="Calibri" w:hAnsi="Calibri" w:cs="Calibri"/>
          <w:b/>
        </w:rPr>
      </w:pPr>
      <w:r w:rsidRPr="00445D22">
        <w:rPr>
          <w:rFonts w:ascii="Calibri" w:hAnsi="Calibri" w:cs="Calibri"/>
          <w:b/>
          <w:sz w:val="24"/>
          <w:szCs w:val="24"/>
        </w:rPr>
        <w:t>Gráfica y descripción del presupuesto vigente, ejecutado y saldo por ejecutar por finalidad</w:t>
      </w:r>
      <w:r w:rsidRPr="00445D22">
        <w:rPr>
          <w:rFonts w:ascii="Calibri" w:hAnsi="Calibri" w:cs="Calibri"/>
          <w:b/>
        </w:rPr>
        <w:t>.</w:t>
      </w:r>
    </w:p>
    <w:p w14:paraId="1B80D1EA" w14:textId="77777777" w:rsidR="004F7AC5" w:rsidRPr="00445D22" w:rsidRDefault="004F7AC5" w:rsidP="004F7AC5">
      <w:pPr>
        <w:pStyle w:val="ListParagraph"/>
        <w:spacing w:after="0" w:line="240" w:lineRule="auto"/>
        <w:ind w:left="360"/>
        <w:rPr>
          <w:rFonts w:ascii="Calibri" w:hAnsi="Calibri" w:cs="Calibri"/>
        </w:rPr>
      </w:pPr>
    </w:p>
    <w:p w14:paraId="3555E476" w14:textId="77777777" w:rsidR="000868C3" w:rsidRPr="007A03C9" w:rsidRDefault="000868C3" w:rsidP="007A03C9">
      <w:pPr>
        <w:spacing w:after="0" w:line="240" w:lineRule="auto"/>
        <w:rPr>
          <w:rFonts w:ascii="Calibri" w:hAnsi="Calibri" w:cs="Calibri"/>
          <w:noProof/>
          <w:lang w:eastAsia="es-GT"/>
        </w:rPr>
      </w:pPr>
    </w:p>
    <w:p w14:paraId="3B2A4255" w14:textId="77777777" w:rsidR="000868C3" w:rsidRPr="00445D22" w:rsidRDefault="000868C3" w:rsidP="0035671D">
      <w:pPr>
        <w:pStyle w:val="ListParagraph"/>
        <w:spacing w:after="0" w:line="240" w:lineRule="auto"/>
        <w:ind w:left="360"/>
        <w:rPr>
          <w:rFonts w:ascii="Calibri" w:hAnsi="Calibri" w:cs="Calibri"/>
          <w:noProof/>
          <w:lang w:eastAsia="es-GT"/>
        </w:rPr>
      </w:pPr>
      <w:r w:rsidRPr="00445D22">
        <w:rPr>
          <w:rFonts w:ascii="Calibri" w:hAnsi="Calibri" w:cs="Calibri"/>
          <w:noProof/>
          <w:lang w:eastAsia="es-GT"/>
        </w:rPr>
        <w:drawing>
          <wp:anchor distT="0" distB="0" distL="114300" distR="114300" simplePos="0" relativeHeight="251679744" behindDoc="1" locked="0" layoutInCell="1" allowOverlap="1" wp14:anchorId="55E232F4" wp14:editId="31ABABE6">
            <wp:simplePos x="0" y="0"/>
            <wp:positionH relativeFrom="column">
              <wp:posOffset>-307340</wp:posOffset>
            </wp:positionH>
            <wp:positionV relativeFrom="paragraph">
              <wp:posOffset>-20320</wp:posOffset>
            </wp:positionV>
            <wp:extent cx="6115792" cy="3123211"/>
            <wp:effectExtent l="0" t="0" r="5715" b="1270"/>
            <wp:wrapNone/>
            <wp:docPr id="21" name="Gráfico 2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F3F8AF2" w14:textId="77777777" w:rsidR="000868C3" w:rsidRPr="00445D22" w:rsidRDefault="000868C3" w:rsidP="0035671D">
      <w:pPr>
        <w:pStyle w:val="ListParagraph"/>
        <w:spacing w:after="0" w:line="240" w:lineRule="auto"/>
        <w:ind w:left="360"/>
        <w:rPr>
          <w:rFonts w:ascii="Calibri" w:hAnsi="Calibri" w:cs="Calibri"/>
          <w:noProof/>
          <w:lang w:eastAsia="es-GT"/>
        </w:rPr>
      </w:pPr>
    </w:p>
    <w:p w14:paraId="23C25E7A" w14:textId="77777777" w:rsidR="000868C3" w:rsidRPr="00445D22" w:rsidRDefault="000868C3" w:rsidP="0035671D">
      <w:pPr>
        <w:pStyle w:val="ListParagraph"/>
        <w:spacing w:after="0" w:line="240" w:lineRule="auto"/>
        <w:ind w:left="360"/>
        <w:rPr>
          <w:rFonts w:ascii="Calibri" w:hAnsi="Calibri" w:cs="Calibri"/>
          <w:noProof/>
          <w:lang w:eastAsia="es-GT"/>
        </w:rPr>
      </w:pPr>
    </w:p>
    <w:p w14:paraId="72AF2BC2" w14:textId="77777777" w:rsidR="000868C3" w:rsidRPr="00445D22" w:rsidRDefault="000868C3" w:rsidP="0035671D">
      <w:pPr>
        <w:pStyle w:val="ListParagraph"/>
        <w:spacing w:after="0" w:line="240" w:lineRule="auto"/>
        <w:ind w:left="360"/>
        <w:rPr>
          <w:rFonts w:ascii="Calibri" w:hAnsi="Calibri" w:cs="Calibri"/>
          <w:noProof/>
          <w:lang w:eastAsia="es-GT"/>
        </w:rPr>
      </w:pPr>
    </w:p>
    <w:p w14:paraId="452EAF95" w14:textId="77777777" w:rsidR="000868C3" w:rsidRPr="00445D22" w:rsidRDefault="000868C3" w:rsidP="0035671D">
      <w:pPr>
        <w:pStyle w:val="ListParagraph"/>
        <w:spacing w:after="0" w:line="240" w:lineRule="auto"/>
        <w:ind w:left="360"/>
        <w:rPr>
          <w:rFonts w:ascii="Calibri" w:hAnsi="Calibri" w:cs="Calibri"/>
          <w:noProof/>
          <w:lang w:eastAsia="es-GT"/>
        </w:rPr>
      </w:pPr>
    </w:p>
    <w:p w14:paraId="2B12B595" w14:textId="77777777" w:rsidR="000868C3" w:rsidRPr="00445D22" w:rsidRDefault="000868C3" w:rsidP="0035671D">
      <w:pPr>
        <w:pStyle w:val="ListParagraph"/>
        <w:spacing w:after="0" w:line="240" w:lineRule="auto"/>
        <w:ind w:left="360"/>
        <w:rPr>
          <w:rFonts w:ascii="Calibri" w:hAnsi="Calibri" w:cs="Calibri"/>
          <w:noProof/>
          <w:lang w:eastAsia="es-GT"/>
        </w:rPr>
      </w:pPr>
    </w:p>
    <w:p w14:paraId="07CCCF6D" w14:textId="77777777" w:rsidR="000868C3" w:rsidRPr="00445D22" w:rsidRDefault="000868C3" w:rsidP="00DF4A3F">
      <w:pPr>
        <w:rPr>
          <w:rFonts w:ascii="Calibri" w:hAnsi="Calibri" w:cs="Calibri"/>
          <w:sz w:val="20"/>
          <w:szCs w:val="20"/>
        </w:rPr>
      </w:pPr>
    </w:p>
    <w:p w14:paraId="573E4836" w14:textId="77777777" w:rsidR="000868C3" w:rsidRPr="00445D22" w:rsidRDefault="000868C3" w:rsidP="00DF4A3F">
      <w:pPr>
        <w:rPr>
          <w:rFonts w:ascii="Calibri" w:hAnsi="Calibri" w:cs="Calibri"/>
          <w:sz w:val="20"/>
          <w:szCs w:val="20"/>
        </w:rPr>
      </w:pPr>
    </w:p>
    <w:p w14:paraId="0B6521A0" w14:textId="77777777" w:rsidR="000868C3" w:rsidRPr="00445D22" w:rsidRDefault="000868C3" w:rsidP="00DF4A3F">
      <w:pPr>
        <w:rPr>
          <w:rFonts w:ascii="Calibri" w:hAnsi="Calibri" w:cs="Calibri"/>
          <w:sz w:val="20"/>
          <w:szCs w:val="20"/>
        </w:rPr>
      </w:pPr>
    </w:p>
    <w:p w14:paraId="41C7C114" w14:textId="77777777" w:rsidR="00261C1A" w:rsidRPr="00445D22" w:rsidRDefault="00261C1A" w:rsidP="0035671D">
      <w:pPr>
        <w:pStyle w:val="ListParagraph"/>
        <w:spacing w:after="0" w:line="240" w:lineRule="auto"/>
        <w:ind w:left="360"/>
        <w:rPr>
          <w:rFonts w:ascii="Calibri" w:hAnsi="Calibri" w:cs="Calibri"/>
          <w:noProof/>
          <w:lang w:eastAsia="es-GT"/>
        </w:rPr>
      </w:pPr>
    </w:p>
    <w:p w14:paraId="274700D2" w14:textId="77777777" w:rsidR="000868C3" w:rsidRPr="00445D22" w:rsidRDefault="000868C3" w:rsidP="0035671D">
      <w:pPr>
        <w:pStyle w:val="ListParagraph"/>
        <w:spacing w:after="0" w:line="240" w:lineRule="auto"/>
        <w:ind w:left="360"/>
        <w:rPr>
          <w:rFonts w:ascii="Calibri" w:hAnsi="Calibri" w:cs="Calibri"/>
          <w:noProof/>
          <w:lang w:eastAsia="es-GT"/>
        </w:rPr>
      </w:pPr>
    </w:p>
    <w:p w14:paraId="69F748FC" w14:textId="77777777" w:rsidR="000868C3" w:rsidRPr="00445D22" w:rsidRDefault="000868C3" w:rsidP="0035671D">
      <w:pPr>
        <w:pStyle w:val="ListParagraph"/>
        <w:spacing w:after="0" w:line="240" w:lineRule="auto"/>
        <w:ind w:left="360"/>
        <w:rPr>
          <w:rFonts w:ascii="Calibri" w:hAnsi="Calibri" w:cs="Calibri"/>
          <w:noProof/>
          <w:lang w:eastAsia="es-GT"/>
        </w:rPr>
      </w:pPr>
    </w:p>
    <w:p w14:paraId="4EB7DD70" w14:textId="77777777" w:rsidR="000868C3" w:rsidRPr="00445D22" w:rsidRDefault="000868C3" w:rsidP="0035671D">
      <w:pPr>
        <w:pStyle w:val="ListParagraph"/>
        <w:spacing w:after="0" w:line="240" w:lineRule="auto"/>
        <w:ind w:left="360"/>
        <w:rPr>
          <w:rFonts w:ascii="Calibri" w:hAnsi="Calibri" w:cs="Calibri"/>
          <w:noProof/>
          <w:lang w:eastAsia="es-GT"/>
        </w:rPr>
      </w:pPr>
    </w:p>
    <w:p w14:paraId="7EB6EF1F" w14:textId="77777777" w:rsidR="000868C3" w:rsidRPr="00445D22" w:rsidRDefault="000868C3" w:rsidP="0035671D">
      <w:pPr>
        <w:pStyle w:val="ListParagraph"/>
        <w:spacing w:after="0" w:line="240" w:lineRule="auto"/>
        <w:ind w:left="360"/>
        <w:rPr>
          <w:rFonts w:ascii="Calibri" w:hAnsi="Calibri" w:cs="Calibri"/>
          <w:noProof/>
          <w:lang w:eastAsia="es-GT"/>
        </w:rPr>
      </w:pPr>
    </w:p>
    <w:p w14:paraId="4B006582" w14:textId="77777777" w:rsidR="00DE75BF" w:rsidRPr="00445D22" w:rsidRDefault="00DE75BF" w:rsidP="0035671D">
      <w:pPr>
        <w:pStyle w:val="ListParagraph"/>
        <w:spacing w:after="0" w:line="240" w:lineRule="auto"/>
        <w:ind w:left="360"/>
        <w:rPr>
          <w:rFonts w:ascii="Calibri" w:hAnsi="Calibri" w:cs="Calibri"/>
          <w:noProof/>
          <w:lang w:eastAsia="es-GT"/>
        </w:rPr>
      </w:pPr>
    </w:p>
    <w:p w14:paraId="6942FFC5" w14:textId="77777777" w:rsidR="00DE75BF" w:rsidRPr="00445D22" w:rsidRDefault="00DE75BF" w:rsidP="0035671D">
      <w:pPr>
        <w:pStyle w:val="ListParagraph"/>
        <w:spacing w:after="0" w:line="240" w:lineRule="auto"/>
        <w:ind w:left="360"/>
        <w:rPr>
          <w:rFonts w:ascii="Calibri" w:hAnsi="Calibri" w:cs="Calibri"/>
          <w:noProof/>
          <w:lang w:eastAsia="es-GT"/>
        </w:rPr>
      </w:pPr>
    </w:p>
    <w:p w14:paraId="4A5B16B6" w14:textId="77777777" w:rsidR="00DE75BF" w:rsidRPr="00445D22" w:rsidRDefault="00DE75BF" w:rsidP="0035671D">
      <w:pPr>
        <w:pStyle w:val="ListParagraph"/>
        <w:spacing w:after="0" w:line="240" w:lineRule="auto"/>
        <w:ind w:left="360"/>
        <w:rPr>
          <w:rFonts w:ascii="Calibri" w:hAnsi="Calibri" w:cs="Calibri"/>
          <w:noProof/>
          <w:lang w:eastAsia="es-GT"/>
        </w:rPr>
      </w:pPr>
    </w:p>
    <w:p w14:paraId="23831E68" w14:textId="77777777" w:rsidR="000868C3" w:rsidRPr="00445D22" w:rsidRDefault="000868C3" w:rsidP="0035671D">
      <w:pPr>
        <w:pStyle w:val="ListParagraph"/>
        <w:spacing w:after="0" w:line="240" w:lineRule="auto"/>
        <w:ind w:left="360"/>
        <w:rPr>
          <w:rFonts w:ascii="Calibri" w:hAnsi="Calibri" w:cs="Calibri"/>
          <w:noProof/>
          <w:lang w:eastAsia="es-GT"/>
        </w:rPr>
      </w:pPr>
    </w:p>
    <w:p w14:paraId="783250E6" w14:textId="77777777" w:rsidR="0035671D" w:rsidRPr="00445D22" w:rsidRDefault="0035671D" w:rsidP="00396164">
      <w:pPr>
        <w:pStyle w:val="ListParagraph"/>
        <w:numPr>
          <w:ilvl w:val="0"/>
          <w:numId w:val="8"/>
        </w:numPr>
        <w:spacing w:after="0" w:line="240" w:lineRule="auto"/>
        <w:ind w:left="360"/>
        <w:rPr>
          <w:rFonts w:ascii="Calibri" w:hAnsi="Calibri" w:cs="Calibri"/>
          <w:b/>
          <w:sz w:val="24"/>
          <w:szCs w:val="24"/>
        </w:rPr>
      </w:pPr>
      <w:r w:rsidRPr="00445D22">
        <w:rPr>
          <w:rFonts w:ascii="Calibri" w:hAnsi="Calibri" w:cs="Calibri"/>
          <w:b/>
          <w:sz w:val="24"/>
          <w:szCs w:val="24"/>
        </w:rPr>
        <w:t>Explicación de la</w:t>
      </w:r>
      <w:r w:rsidR="000868C3" w:rsidRPr="00445D22">
        <w:rPr>
          <w:rFonts w:ascii="Calibri" w:hAnsi="Calibri" w:cs="Calibri"/>
          <w:noProof/>
          <w:lang w:eastAsia="es-GT"/>
        </w:rPr>
        <w:t xml:space="preserve"> </w:t>
      </w:r>
      <w:r w:rsidRPr="00445D22">
        <w:rPr>
          <w:rFonts w:ascii="Calibri" w:hAnsi="Calibri" w:cs="Calibri"/>
          <w:b/>
          <w:sz w:val="24"/>
          <w:szCs w:val="24"/>
        </w:rPr>
        <w:t xml:space="preserve"> ejecución presupuestaria por su finalidad.</w:t>
      </w:r>
    </w:p>
    <w:p w14:paraId="3D566E95" w14:textId="77777777" w:rsidR="0035671D" w:rsidRPr="00445D22" w:rsidRDefault="0035671D" w:rsidP="0035671D">
      <w:pPr>
        <w:pStyle w:val="ListParagraph"/>
        <w:spacing w:after="0" w:line="240" w:lineRule="auto"/>
        <w:ind w:left="0"/>
        <w:rPr>
          <w:rFonts w:ascii="Calibri" w:hAnsi="Calibri" w:cs="Calibri"/>
          <w:b/>
          <w:sz w:val="24"/>
          <w:szCs w:val="24"/>
        </w:rPr>
      </w:pPr>
    </w:p>
    <w:p w14:paraId="37DD1AAD" w14:textId="77777777" w:rsidR="00DF4A3F" w:rsidRPr="00445D22" w:rsidRDefault="00DF4A3F" w:rsidP="00DF4A3F">
      <w:pPr>
        <w:pStyle w:val="Default"/>
        <w:jc w:val="both"/>
        <w:rPr>
          <w:color w:val="auto"/>
        </w:rPr>
      </w:pPr>
      <w:r w:rsidRPr="00445D22">
        <w:rPr>
          <w:color w:val="auto"/>
        </w:rPr>
        <w:t>La ejecución presupuestaria por finalidad está catalogada como servicios públicos generales en virtud que el Ministerio de Finanzas Públicas es una institución eminentemente de apoyo para el resto de instituciones del Gobierno de la República. Principalmente vinculada a los servicios de administración fiscal, gestión de los fondos públicos y la deuda pública. A la fecha se ha ejecutado el 76.3 % respecto al total de las asignaciones vigentes.</w:t>
      </w:r>
    </w:p>
    <w:p w14:paraId="385542CE" w14:textId="2E43CA31" w:rsidR="00D0136A" w:rsidRDefault="00D0136A" w:rsidP="00D0136A">
      <w:pPr>
        <w:pStyle w:val="Default"/>
        <w:jc w:val="both"/>
        <w:rPr>
          <w:color w:val="365F91" w:themeColor="accent1" w:themeShade="BF"/>
        </w:rPr>
      </w:pPr>
    </w:p>
    <w:p w14:paraId="79B08C25" w14:textId="04FD5930" w:rsidR="00B77AA4" w:rsidRDefault="00B77AA4" w:rsidP="00D0136A">
      <w:pPr>
        <w:pStyle w:val="Default"/>
        <w:jc w:val="both"/>
        <w:rPr>
          <w:color w:val="365F91" w:themeColor="accent1" w:themeShade="BF"/>
        </w:rPr>
      </w:pPr>
    </w:p>
    <w:p w14:paraId="06532FBA" w14:textId="405AA945" w:rsidR="00B77AA4" w:rsidRDefault="00B77AA4" w:rsidP="00D0136A">
      <w:pPr>
        <w:pStyle w:val="Default"/>
        <w:jc w:val="both"/>
        <w:rPr>
          <w:color w:val="365F91" w:themeColor="accent1" w:themeShade="BF"/>
        </w:rPr>
      </w:pPr>
    </w:p>
    <w:p w14:paraId="711C8678" w14:textId="6E5F9197" w:rsidR="00B77AA4" w:rsidRDefault="00B77AA4" w:rsidP="00D0136A">
      <w:pPr>
        <w:pStyle w:val="Default"/>
        <w:jc w:val="both"/>
        <w:rPr>
          <w:color w:val="365F91" w:themeColor="accent1" w:themeShade="BF"/>
        </w:rPr>
      </w:pPr>
    </w:p>
    <w:p w14:paraId="6361528D" w14:textId="27A8DF70" w:rsidR="00B77AA4" w:rsidRDefault="00B77AA4" w:rsidP="00D0136A">
      <w:pPr>
        <w:pStyle w:val="Default"/>
        <w:jc w:val="both"/>
        <w:rPr>
          <w:color w:val="365F91" w:themeColor="accent1" w:themeShade="BF"/>
        </w:rPr>
      </w:pPr>
    </w:p>
    <w:p w14:paraId="14909AF7" w14:textId="0A95AFF4" w:rsidR="00B77AA4" w:rsidRDefault="00B77AA4" w:rsidP="00D0136A">
      <w:pPr>
        <w:pStyle w:val="Default"/>
        <w:jc w:val="both"/>
        <w:rPr>
          <w:color w:val="365F91" w:themeColor="accent1" w:themeShade="BF"/>
        </w:rPr>
      </w:pPr>
    </w:p>
    <w:p w14:paraId="2B8BDC4A" w14:textId="77777777" w:rsidR="00B77AA4" w:rsidRPr="00445D22" w:rsidRDefault="00B77AA4" w:rsidP="00D0136A">
      <w:pPr>
        <w:pStyle w:val="Default"/>
        <w:jc w:val="both"/>
        <w:rPr>
          <w:color w:val="365F91" w:themeColor="accent1" w:themeShade="BF"/>
        </w:rPr>
      </w:pPr>
    </w:p>
    <w:p w14:paraId="39F09827" w14:textId="2679BE44" w:rsidR="00FE5882" w:rsidRPr="008E611B" w:rsidRDefault="008E611B" w:rsidP="00D0136A">
      <w:pPr>
        <w:pStyle w:val="Default"/>
        <w:jc w:val="both"/>
        <w:rPr>
          <w:color w:val="365F91" w:themeColor="accent1" w:themeShade="BF"/>
          <w:sz w:val="30"/>
          <w:szCs w:val="30"/>
        </w:rPr>
      </w:pPr>
      <w:r>
        <w:rPr>
          <w:color w:val="365F91" w:themeColor="accent1" w:themeShade="BF"/>
        </w:rPr>
        <w:t xml:space="preserve"> </w:t>
      </w:r>
    </w:p>
    <w:p w14:paraId="5E09D64D" w14:textId="77777777" w:rsidR="0008002C" w:rsidRPr="008E611B" w:rsidRDefault="0008002C" w:rsidP="00B80002">
      <w:pPr>
        <w:pStyle w:val="ListParagraph"/>
        <w:numPr>
          <w:ilvl w:val="0"/>
          <w:numId w:val="8"/>
        </w:numPr>
        <w:shd w:val="clear" w:color="auto" w:fill="95B3D7" w:themeFill="accent1" w:themeFillTint="99"/>
        <w:spacing w:after="0" w:line="240" w:lineRule="auto"/>
        <w:ind w:left="0" w:firstLine="0"/>
        <w:rPr>
          <w:rFonts w:ascii="Calibri" w:hAnsi="Calibri" w:cs="Calibri"/>
          <w:b/>
          <w:color w:val="17365D" w:themeColor="text2" w:themeShade="BF"/>
          <w:sz w:val="30"/>
          <w:szCs w:val="30"/>
        </w:rPr>
      </w:pPr>
      <w:r w:rsidRPr="008E611B">
        <w:rPr>
          <w:rFonts w:ascii="Calibri" w:hAnsi="Calibri" w:cs="Calibri"/>
          <w:b/>
          <w:color w:val="17365D" w:themeColor="text2" w:themeShade="BF"/>
          <w:sz w:val="30"/>
          <w:szCs w:val="30"/>
        </w:rPr>
        <w:t>PARTE ESPECÍFICA: PRINCIPALES LOGROS INSTITUCIONALES</w:t>
      </w:r>
    </w:p>
    <w:p w14:paraId="3A6F2269" w14:textId="77777777" w:rsidR="00F02AE3" w:rsidRPr="00445D22" w:rsidRDefault="00F02AE3" w:rsidP="00002692">
      <w:pPr>
        <w:pStyle w:val="ListParagraph"/>
        <w:spacing w:after="0" w:line="240" w:lineRule="auto"/>
        <w:ind w:left="1080"/>
        <w:rPr>
          <w:rFonts w:ascii="Calibri" w:hAnsi="Calibri" w:cs="Calibri"/>
          <w:b/>
          <w:sz w:val="24"/>
          <w:szCs w:val="24"/>
        </w:rPr>
      </w:pPr>
    </w:p>
    <w:p w14:paraId="5487F933" w14:textId="77777777" w:rsidR="00002692" w:rsidRPr="00445D22" w:rsidRDefault="005E4627" w:rsidP="00002692">
      <w:pPr>
        <w:spacing w:after="0" w:line="240" w:lineRule="auto"/>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durante el </w:t>
      </w:r>
      <w:r w:rsidR="0084676E" w:rsidRPr="00445D22">
        <w:rPr>
          <w:rFonts w:ascii="Calibri" w:hAnsi="Calibri" w:cs="Calibri"/>
          <w:sz w:val="24"/>
          <w:szCs w:val="24"/>
        </w:rPr>
        <w:t>tercer</w:t>
      </w:r>
      <w:r w:rsidRPr="00445D22">
        <w:rPr>
          <w:rFonts w:ascii="Calibri" w:hAnsi="Calibri" w:cs="Calibri"/>
          <w:sz w:val="24"/>
          <w:szCs w:val="24"/>
        </w:rPr>
        <w:t xml:space="preserve"> cuatrimestre del </w:t>
      </w:r>
      <w:r w:rsidR="00002692" w:rsidRPr="00445D22">
        <w:rPr>
          <w:rFonts w:ascii="Calibri" w:hAnsi="Calibri" w:cs="Calibri"/>
          <w:sz w:val="24"/>
          <w:szCs w:val="24"/>
        </w:rPr>
        <w:t>año 2021</w:t>
      </w:r>
      <w:r w:rsidRPr="00445D22">
        <w:rPr>
          <w:rFonts w:ascii="Calibri" w:hAnsi="Calibri" w:cs="Calibri"/>
          <w:sz w:val="24"/>
          <w:szCs w:val="24"/>
        </w:rPr>
        <w:t xml:space="preserve">, de acuerdo al marco </w:t>
      </w:r>
      <w:r w:rsidR="009113CB" w:rsidRPr="00445D22">
        <w:rPr>
          <w:rFonts w:ascii="Calibri" w:hAnsi="Calibri" w:cs="Calibri"/>
          <w:sz w:val="24"/>
          <w:szCs w:val="24"/>
        </w:rPr>
        <w:t xml:space="preserve">jurídico </w:t>
      </w:r>
      <w:r w:rsidRPr="00445D22">
        <w:rPr>
          <w:rFonts w:ascii="Calibri" w:hAnsi="Calibri" w:cs="Calibri"/>
          <w:sz w:val="24"/>
          <w:szCs w:val="24"/>
        </w:rPr>
        <w:t xml:space="preserve">de su competencia y con la valiosa participación de las </w:t>
      </w:r>
      <w:r w:rsidR="00002692" w:rsidRPr="00445D22">
        <w:rPr>
          <w:rFonts w:ascii="Calibri" w:hAnsi="Calibri" w:cs="Calibri"/>
          <w:sz w:val="24"/>
          <w:szCs w:val="24"/>
        </w:rPr>
        <w:t xml:space="preserve">dependencias que </w:t>
      </w:r>
      <w:r w:rsidRPr="00445D22">
        <w:rPr>
          <w:rFonts w:ascii="Calibri" w:hAnsi="Calibri" w:cs="Calibri"/>
          <w:sz w:val="24"/>
          <w:szCs w:val="24"/>
        </w:rPr>
        <w:t xml:space="preserve">lo </w:t>
      </w:r>
      <w:r w:rsidR="00002692" w:rsidRPr="00445D22">
        <w:rPr>
          <w:rFonts w:ascii="Calibri" w:hAnsi="Calibri" w:cs="Calibri"/>
          <w:sz w:val="24"/>
          <w:szCs w:val="24"/>
        </w:rPr>
        <w:t>conforman</w:t>
      </w:r>
      <w:r w:rsidR="0008002C" w:rsidRPr="00445D22">
        <w:rPr>
          <w:rFonts w:ascii="Calibri" w:hAnsi="Calibri" w:cs="Calibri"/>
          <w:sz w:val="24"/>
          <w:szCs w:val="24"/>
        </w:rPr>
        <w:t xml:space="preserve">, alcanzó entre otros logros institucionales </w:t>
      </w:r>
      <w:r w:rsidRPr="00445D22">
        <w:rPr>
          <w:rFonts w:ascii="Calibri" w:hAnsi="Calibri" w:cs="Calibri"/>
          <w:sz w:val="24"/>
          <w:szCs w:val="24"/>
        </w:rPr>
        <w:t>los siguientes</w:t>
      </w:r>
      <w:r w:rsidR="00002692" w:rsidRPr="00445D22">
        <w:rPr>
          <w:rFonts w:ascii="Calibri" w:hAnsi="Calibri" w:cs="Calibri"/>
          <w:sz w:val="24"/>
          <w:szCs w:val="24"/>
        </w:rPr>
        <w:t>:</w:t>
      </w:r>
    </w:p>
    <w:p w14:paraId="7F6FF84F" w14:textId="77777777" w:rsidR="000067BC" w:rsidRPr="00445D22" w:rsidRDefault="000067BC" w:rsidP="00002692">
      <w:pPr>
        <w:spacing w:after="0" w:line="240" w:lineRule="auto"/>
        <w:jc w:val="both"/>
        <w:rPr>
          <w:rFonts w:ascii="Calibri" w:hAnsi="Calibri" w:cs="Calibri"/>
          <w:sz w:val="24"/>
          <w:szCs w:val="24"/>
        </w:rPr>
      </w:pPr>
    </w:p>
    <w:p w14:paraId="0595E64A"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62B05476"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21A519D2"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55DC56CB"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00FA8ADB"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26ADB69F"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7143BB0A"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4E6B6CB3"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0A35ED37"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51DA16D2"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36AA46D6" w14:textId="77777777" w:rsidR="007C3381" w:rsidRPr="00445D22" w:rsidRDefault="007C3381" w:rsidP="007C3381">
      <w:pPr>
        <w:pStyle w:val="ListParagraph"/>
        <w:numPr>
          <w:ilvl w:val="0"/>
          <w:numId w:val="13"/>
        </w:numPr>
        <w:shd w:val="clear" w:color="auto" w:fill="DBE5F1" w:themeFill="accent1" w:themeFillTint="33"/>
        <w:autoSpaceDE w:val="0"/>
        <w:autoSpaceDN w:val="0"/>
        <w:adjustRightInd w:val="0"/>
        <w:spacing w:after="171" w:line="240" w:lineRule="auto"/>
        <w:contextualSpacing w:val="0"/>
        <w:jc w:val="both"/>
        <w:rPr>
          <w:rFonts w:ascii="Calibri" w:eastAsia="Times New Roman" w:hAnsi="Calibri" w:cs="Calibri"/>
          <w:b/>
          <w:vanish/>
          <w:color w:val="000000"/>
          <w:sz w:val="24"/>
          <w:szCs w:val="24"/>
          <w:lang w:eastAsia="es-GT"/>
        </w:rPr>
      </w:pPr>
    </w:p>
    <w:p w14:paraId="3D6C63B2" w14:textId="77777777" w:rsidR="002D4671" w:rsidRPr="00445D22" w:rsidRDefault="002D4671" w:rsidP="007C3381">
      <w:pPr>
        <w:pStyle w:val="Default"/>
        <w:numPr>
          <w:ilvl w:val="1"/>
          <w:numId w:val="13"/>
        </w:numPr>
        <w:shd w:val="clear" w:color="auto" w:fill="DBE5F1" w:themeFill="accent1" w:themeFillTint="33"/>
        <w:spacing w:after="171"/>
        <w:jc w:val="both"/>
        <w:rPr>
          <w:b/>
        </w:rPr>
      </w:pPr>
      <w:r w:rsidRPr="00445D22">
        <w:rPr>
          <w:rFonts w:eastAsia="Times New Roman"/>
          <w:b/>
          <w:lang w:eastAsia="es-GT"/>
        </w:rPr>
        <w:t xml:space="preserve">Gestión de los ingresos: </w:t>
      </w:r>
      <w:r w:rsidRPr="00445D22">
        <w:rPr>
          <w:b/>
        </w:rPr>
        <w:t xml:space="preserve"> </w:t>
      </w:r>
    </w:p>
    <w:p w14:paraId="02398959" w14:textId="77777777" w:rsidR="00CA1B2F" w:rsidRPr="00445D22" w:rsidRDefault="009F7E46" w:rsidP="00396164">
      <w:pPr>
        <w:pStyle w:val="ListParagraph"/>
        <w:numPr>
          <w:ilvl w:val="0"/>
          <w:numId w:val="11"/>
        </w:numPr>
        <w:spacing w:after="0" w:line="240" w:lineRule="auto"/>
        <w:jc w:val="both"/>
        <w:rPr>
          <w:rFonts w:ascii="Calibri" w:hAnsi="Calibri" w:cs="Calibri"/>
          <w:bCs/>
          <w:sz w:val="24"/>
          <w:szCs w:val="24"/>
        </w:rPr>
      </w:pPr>
      <w:r w:rsidRPr="00445D22">
        <w:rPr>
          <w:rFonts w:ascii="Calibri" w:hAnsi="Calibri" w:cs="Calibri"/>
          <w:sz w:val="24"/>
          <w:szCs w:val="24"/>
        </w:rPr>
        <w:t xml:space="preserve">El MINFIN como órgano rector del Sistema Presupuestario del Sector Público, es responsable de normar, dirigir y coordinar el proceso presupuestario; durante el tercer cuatrimestre del presente ejercicio fiscal, </w:t>
      </w:r>
      <w:r w:rsidR="00E8328A" w:rsidRPr="00445D22">
        <w:rPr>
          <w:rFonts w:ascii="Calibri" w:hAnsi="Calibri" w:cs="Calibri"/>
          <w:sz w:val="24"/>
          <w:szCs w:val="24"/>
        </w:rPr>
        <w:t xml:space="preserve">el Presupuesto General de Ingresos y Egresos 2022 </w:t>
      </w:r>
      <w:r w:rsidRPr="00445D22">
        <w:rPr>
          <w:rFonts w:ascii="Calibri" w:hAnsi="Calibri" w:cs="Calibri"/>
          <w:sz w:val="24"/>
          <w:szCs w:val="24"/>
        </w:rPr>
        <w:t>fue presentado ante el Congreso de la República, siendo aprobado por este órgano en noviembre de 2021 por un monto de Q 10</w:t>
      </w:r>
      <w:r w:rsidR="00CA1B2F" w:rsidRPr="00445D22">
        <w:rPr>
          <w:rFonts w:ascii="Calibri" w:hAnsi="Calibri" w:cs="Calibri"/>
          <w:sz w:val="24"/>
          <w:szCs w:val="24"/>
        </w:rPr>
        <w:t>6</w:t>
      </w:r>
      <w:r w:rsidRPr="00445D22">
        <w:rPr>
          <w:rFonts w:ascii="Calibri" w:hAnsi="Calibri" w:cs="Calibri"/>
          <w:sz w:val="24"/>
          <w:szCs w:val="24"/>
        </w:rPr>
        <w:t>.</w:t>
      </w:r>
      <w:r w:rsidR="00CA1B2F" w:rsidRPr="00445D22">
        <w:rPr>
          <w:rFonts w:ascii="Calibri" w:hAnsi="Calibri" w:cs="Calibri"/>
          <w:sz w:val="24"/>
          <w:szCs w:val="24"/>
        </w:rPr>
        <w:t>2</w:t>
      </w:r>
      <w:r w:rsidRPr="00445D22">
        <w:rPr>
          <w:rFonts w:ascii="Calibri" w:hAnsi="Calibri" w:cs="Calibri"/>
          <w:sz w:val="24"/>
          <w:szCs w:val="24"/>
        </w:rPr>
        <w:t xml:space="preserve"> mil millones de Quetzales</w:t>
      </w:r>
      <w:r w:rsidR="00B32FA3" w:rsidRPr="00445D22">
        <w:rPr>
          <w:rFonts w:ascii="Calibri" w:hAnsi="Calibri" w:cs="Calibri"/>
          <w:sz w:val="24"/>
          <w:szCs w:val="24"/>
        </w:rPr>
        <w:t>,</w:t>
      </w:r>
      <w:r w:rsidR="00CA1B2F" w:rsidRPr="00445D22">
        <w:rPr>
          <w:rFonts w:ascii="Calibri" w:hAnsi="Calibri" w:cs="Calibri"/>
          <w:sz w:val="24"/>
          <w:szCs w:val="24"/>
        </w:rPr>
        <w:t xml:space="preserve"> el </w:t>
      </w:r>
      <w:r w:rsidR="00927AAD" w:rsidRPr="00445D22">
        <w:rPr>
          <w:rFonts w:ascii="Calibri" w:hAnsi="Calibri" w:cs="Calibri"/>
          <w:sz w:val="24"/>
          <w:szCs w:val="24"/>
        </w:rPr>
        <w:t>68</w:t>
      </w:r>
      <w:r w:rsidR="00CA1B2F" w:rsidRPr="00445D22">
        <w:rPr>
          <w:rFonts w:ascii="Calibri" w:hAnsi="Calibri" w:cs="Calibri"/>
          <w:sz w:val="24"/>
          <w:szCs w:val="24"/>
        </w:rPr>
        <w:t>% funcionamiento</w:t>
      </w:r>
      <w:r w:rsidR="00B32FA3" w:rsidRPr="00445D22">
        <w:rPr>
          <w:rFonts w:ascii="Calibri" w:hAnsi="Calibri" w:cs="Calibri"/>
          <w:sz w:val="24"/>
          <w:szCs w:val="24"/>
        </w:rPr>
        <w:t>,</w:t>
      </w:r>
      <w:r w:rsidR="00CA1B2F" w:rsidRPr="00445D22">
        <w:rPr>
          <w:rFonts w:ascii="Calibri" w:hAnsi="Calibri" w:cs="Calibri"/>
          <w:sz w:val="24"/>
          <w:szCs w:val="24"/>
        </w:rPr>
        <w:t xml:space="preserve"> </w:t>
      </w:r>
      <w:r w:rsidR="00927AAD" w:rsidRPr="00445D22">
        <w:rPr>
          <w:rFonts w:ascii="Calibri" w:hAnsi="Calibri" w:cs="Calibri"/>
          <w:sz w:val="24"/>
          <w:szCs w:val="24"/>
        </w:rPr>
        <w:t xml:space="preserve">el 18% inversión y </w:t>
      </w:r>
      <w:r w:rsidR="00CA1B2F" w:rsidRPr="00445D22">
        <w:rPr>
          <w:rFonts w:ascii="Calibri" w:hAnsi="Calibri" w:cs="Calibri"/>
          <w:sz w:val="24"/>
          <w:szCs w:val="24"/>
        </w:rPr>
        <w:t>14% corresponde a deuda pública.</w:t>
      </w:r>
    </w:p>
    <w:p w14:paraId="7456BB19" w14:textId="77777777" w:rsidR="001E47FE" w:rsidRPr="00445D22" w:rsidRDefault="001E47FE" w:rsidP="001E47FE">
      <w:pPr>
        <w:pStyle w:val="ListParagraph"/>
        <w:rPr>
          <w:rFonts w:ascii="Calibri" w:hAnsi="Calibri" w:cs="Calibri"/>
          <w:bCs/>
          <w:sz w:val="24"/>
          <w:szCs w:val="24"/>
        </w:rPr>
      </w:pPr>
    </w:p>
    <w:p w14:paraId="3E54AEE3" w14:textId="77777777" w:rsidR="002813D0" w:rsidRPr="00445D22" w:rsidRDefault="002813D0" w:rsidP="00396164">
      <w:pPr>
        <w:pStyle w:val="ListParagraph"/>
        <w:numPr>
          <w:ilvl w:val="0"/>
          <w:numId w:val="2"/>
        </w:numPr>
        <w:spacing w:after="0" w:line="240" w:lineRule="auto"/>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bCs/>
          <w:sz w:val="24"/>
          <w:szCs w:val="24"/>
        </w:rPr>
        <w:t>MINFIN</w:t>
      </w:r>
      <w:r w:rsidR="00F34DE9" w:rsidRPr="00445D22">
        <w:rPr>
          <w:rFonts w:ascii="Calibri" w:hAnsi="Calibri" w:cs="Calibri"/>
          <w:bCs/>
          <w:sz w:val="24"/>
          <w:szCs w:val="24"/>
        </w:rPr>
        <w:t>,</w:t>
      </w:r>
      <w:r w:rsidRPr="00445D22">
        <w:rPr>
          <w:rFonts w:ascii="Calibri" w:hAnsi="Calibri" w:cs="Calibri"/>
          <w:sz w:val="24"/>
          <w:szCs w:val="24"/>
        </w:rPr>
        <w:t xml:space="preserve"> registró un ingreso al </w:t>
      </w:r>
      <w:r w:rsidR="007C3381" w:rsidRPr="00445D22">
        <w:rPr>
          <w:rFonts w:ascii="Calibri" w:hAnsi="Calibri" w:cs="Calibri"/>
          <w:sz w:val="24"/>
          <w:szCs w:val="24"/>
        </w:rPr>
        <w:t xml:space="preserve">30 de noviembre </w:t>
      </w:r>
      <w:r w:rsidRPr="00445D22">
        <w:rPr>
          <w:rFonts w:ascii="Calibri" w:hAnsi="Calibri" w:cs="Calibri"/>
          <w:sz w:val="24"/>
          <w:szCs w:val="24"/>
        </w:rPr>
        <w:t>del año 2021 de Q</w:t>
      </w:r>
      <w:r w:rsidR="005D255D" w:rsidRPr="00445D22">
        <w:rPr>
          <w:rFonts w:ascii="Calibri" w:hAnsi="Calibri" w:cs="Calibri"/>
          <w:sz w:val="24"/>
          <w:szCs w:val="24"/>
        </w:rPr>
        <w:t xml:space="preserve"> </w:t>
      </w:r>
      <w:r w:rsidR="00FE5E4B" w:rsidRPr="00445D22">
        <w:rPr>
          <w:rFonts w:ascii="Calibri" w:hAnsi="Calibri" w:cs="Calibri"/>
          <w:sz w:val="24"/>
          <w:szCs w:val="24"/>
        </w:rPr>
        <w:t>960,176.06</w:t>
      </w:r>
      <w:r w:rsidRPr="00445D22">
        <w:rPr>
          <w:rFonts w:ascii="Calibri" w:hAnsi="Calibri" w:cs="Calibri"/>
          <w:sz w:val="24"/>
          <w:szCs w:val="24"/>
        </w:rPr>
        <w:t xml:space="preserve"> por concepto de recaudación del Impuesto Único Sobre Inmueble -IUSI-, provenientes de las municipalidades que aún no administran la recaudación del citado impuesto. </w:t>
      </w:r>
    </w:p>
    <w:p w14:paraId="51C60E29" w14:textId="77777777" w:rsidR="002813D0" w:rsidRPr="00445D22" w:rsidRDefault="002813D0" w:rsidP="004443D1">
      <w:pPr>
        <w:spacing w:after="0" w:line="240" w:lineRule="auto"/>
        <w:jc w:val="both"/>
        <w:rPr>
          <w:rFonts w:ascii="Calibri" w:hAnsi="Calibri" w:cs="Calibri"/>
          <w:sz w:val="24"/>
          <w:szCs w:val="24"/>
        </w:rPr>
      </w:pPr>
    </w:p>
    <w:p w14:paraId="361A109D" w14:textId="77777777" w:rsidR="002813D0" w:rsidRPr="00445D22" w:rsidRDefault="002813D0" w:rsidP="00396164">
      <w:pPr>
        <w:pStyle w:val="ListParagraph"/>
        <w:numPr>
          <w:ilvl w:val="0"/>
          <w:numId w:val="2"/>
        </w:numPr>
        <w:spacing w:after="0" w:line="240" w:lineRule="auto"/>
        <w:ind w:left="360"/>
        <w:jc w:val="both"/>
        <w:rPr>
          <w:rFonts w:ascii="Calibri" w:hAnsi="Calibri" w:cs="Calibri"/>
          <w:sz w:val="24"/>
          <w:szCs w:val="24"/>
        </w:rPr>
      </w:pPr>
      <w:r w:rsidRPr="00445D22">
        <w:rPr>
          <w:rFonts w:ascii="Calibri" w:hAnsi="Calibri" w:cs="Calibri"/>
          <w:sz w:val="24"/>
          <w:szCs w:val="24"/>
        </w:rPr>
        <w:t>En relación a la recaudación del Impuesto sobre Herencias, Legados y Donaciones</w:t>
      </w:r>
      <w:r w:rsidR="005D255D" w:rsidRPr="00445D22">
        <w:rPr>
          <w:rFonts w:ascii="Calibri" w:hAnsi="Calibri" w:cs="Calibri"/>
          <w:sz w:val="24"/>
          <w:szCs w:val="24"/>
        </w:rPr>
        <w:t>, de</w:t>
      </w:r>
      <w:r w:rsidRPr="00445D22">
        <w:rPr>
          <w:rFonts w:ascii="Calibri" w:hAnsi="Calibri" w:cs="Calibri"/>
          <w:sz w:val="24"/>
          <w:szCs w:val="24"/>
        </w:rPr>
        <w:t>ntro de las responsabilidades más importantes del Ministerio, está desarrollar mecanismos técnicos y administrativos que permitan la agilización, transparencia y eficiente administración de</w:t>
      </w:r>
      <w:r w:rsidR="005D255D" w:rsidRPr="00445D22">
        <w:rPr>
          <w:rFonts w:ascii="Calibri" w:hAnsi="Calibri" w:cs="Calibri"/>
          <w:sz w:val="24"/>
          <w:szCs w:val="24"/>
        </w:rPr>
        <w:t xml:space="preserve"> este impuesto</w:t>
      </w:r>
      <w:r w:rsidRPr="00445D22">
        <w:rPr>
          <w:rFonts w:ascii="Calibri" w:hAnsi="Calibri" w:cs="Calibri"/>
          <w:sz w:val="24"/>
          <w:szCs w:val="24"/>
        </w:rPr>
        <w:t xml:space="preserve">, lográndose registrar al </w:t>
      </w:r>
      <w:r w:rsidR="007C3381" w:rsidRPr="00445D22">
        <w:rPr>
          <w:rFonts w:ascii="Calibri" w:hAnsi="Calibri" w:cs="Calibri"/>
          <w:sz w:val="24"/>
          <w:szCs w:val="24"/>
        </w:rPr>
        <w:t xml:space="preserve">30 de noviembre </w:t>
      </w:r>
      <w:r w:rsidRPr="00445D22">
        <w:rPr>
          <w:rFonts w:ascii="Calibri" w:hAnsi="Calibri" w:cs="Calibri"/>
          <w:sz w:val="24"/>
          <w:szCs w:val="24"/>
        </w:rPr>
        <w:t xml:space="preserve">del año 2021 una recaudación de </w:t>
      </w:r>
      <w:bookmarkStart w:id="0" w:name="_Hlk70584207"/>
      <w:r w:rsidRPr="00445D22">
        <w:rPr>
          <w:rFonts w:ascii="Calibri" w:hAnsi="Calibri" w:cs="Calibri"/>
          <w:sz w:val="24"/>
          <w:szCs w:val="24"/>
        </w:rPr>
        <w:t xml:space="preserve">Q </w:t>
      </w:r>
      <w:r w:rsidR="00FE5E4B" w:rsidRPr="00445D22">
        <w:rPr>
          <w:rFonts w:ascii="Calibri" w:hAnsi="Calibri" w:cs="Calibri"/>
          <w:sz w:val="24"/>
          <w:szCs w:val="24"/>
        </w:rPr>
        <w:t>23,027,710.68</w:t>
      </w:r>
      <w:r w:rsidRPr="00445D22">
        <w:rPr>
          <w:rFonts w:ascii="Calibri" w:hAnsi="Calibri" w:cs="Calibri"/>
          <w:sz w:val="24"/>
          <w:szCs w:val="24"/>
        </w:rPr>
        <w:t xml:space="preserve">. </w:t>
      </w:r>
    </w:p>
    <w:p w14:paraId="20FC2915" w14:textId="77777777" w:rsidR="002813D0" w:rsidRPr="00445D22" w:rsidRDefault="002813D0" w:rsidP="004443D1">
      <w:pPr>
        <w:spacing w:after="0" w:line="240" w:lineRule="auto"/>
        <w:jc w:val="both"/>
        <w:rPr>
          <w:rFonts w:ascii="Calibri" w:hAnsi="Calibri" w:cs="Calibri"/>
          <w:sz w:val="24"/>
          <w:szCs w:val="24"/>
        </w:rPr>
      </w:pPr>
    </w:p>
    <w:bookmarkEnd w:id="0"/>
    <w:p w14:paraId="04C0E080" w14:textId="77777777" w:rsidR="002813D0" w:rsidRPr="00445D22" w:rsidRDefault="00F30013" w:rsidP="00396164">
      <w:pPr>
        <w:pStyle w:val="ListParagraph"/>
        <w:numPr>
          <w:ilvl w:val="0"/>
          <w:numId w:val="2"/>
        </w:numPr>
        <w:spacing w:after="0" w:line="240" w:lineRule="auto"/>
        <w:ind w:left="360"/>
        <w:jc w:val="both"/>
        <w:rPr>
          <w:rFonts w:ascii="Calibri" w:hAnsi="Calibri" w:cs="Calibri"/>
          <w:sz w:val="24"/>
          <w:szCs w:val="24"/>
        </w:rPr>
      </w:pPr>
      <w:r w:rsidRPr="00445D22">
        <w:rPr>
          <w:rFonts w:ascii="Calibri" w:hAnsi="Calibri" w:cs="Calibri"/>
          <w:sz w:val="24"/>
          <w:szCs w:val="24"/>
        </w:rPr>
        <w:t xml:space="preserve">Se continuó fortaleciendo </w:t>
      </w:r>
      <w:r w:rsidR="002813D0" w:rsidRPr="00445D22">
        <w:rPr>
          <w:rFonts w:ascii="Calibri" w:hAnsi="Calibri" w:cs="Calibri"/>
          <w:sz w:val="24"/>
          <w:szCs w:val="24"/>
        </w:rPr>
        <w:t>la certeza y seguridad jurídica de la propiedad, tenencia y uso de la tierra en Guatemala, mediante la actualización del</w:t>
      </w:r>
      <w:r w:rsidRPr="00445D22">
        <w:rPr>
          <w:rFonts w:ascii="Calibri" w:hAnsi="Calibri" w:cs="Calibri"/>
          <w:sz w:val="24"/>
          <w:szCs w:val="24"/>
        </w:rPr>
        <w:t xml:space="preserve"> registro matricular, aplicando la</w:t>
      </w:r>
      <w:r w:rsidR="00101368" w:rsidRPr="00445D22">
        <w:rPr>
          <w:rFonts w:ascii="Calibri" w:hAnsi="Calibri" w:cs="Calibri"/>
          <w:sz w:val="24"/>
          <w:szCs w:val="24"/>
        </w:rPr>
        <w:t xml:space="preserve"> </w:t>
      </w:r>
      <w:r w:rsidR="002813D0" w:rsidRPr="00445D22">
        <w:rPr>
          <w:rFonts w:ascii="Calibri" w:hAnsi="Calibri" w:cs="Calibri"/>
          <w:sz w:val="24"/>
          <w:szCs w:val="24"/>
        </w:rPr>
        <w:t xml:space="preserve">valuación </w:t>
      </w:r>
      <w:r w:rsidRPr="00445D22">
        <w:rPr>
          <w:rFonts w:ascii="Calibri" w:hAnsi="Calibri" w:cs="Calibri"/>
          <w:sz w:val="24"/>
          <w:szCs w:val="24"/>
        </w:rPr>
        <w:t>que se ve reflejada</w:t>
      </w:r>
      <w:r w:rsidR="002813D0" w:rsidRPr="00445D22">
        <w:rPr>
          <w:rFonts w:ascii="Calibri" w:hAnsi="Calibri" w:cs="Calibri"/>
          <w:sz w:val="24"/>
          <w:szCs w:val="24"/>
        </w:rPr>
        <w:t xml:space="preserve"> en la recaudación de los impuestos al patrimonio (IVA, IUSI</w:t>
      </w:r>
      <w:r w:rsidR="005D255D" w:rsidRPr="00445D22">
        <w:rPr>
          <w:rFonts w:ascii="Calibri" w:hAnsi="Calibri" w:cs="Calibri"/>
          <w:sz w:val="24"/>
          <w:szCs w:val="24"/>
        </w:rPr>
        <w:t>,</w:t>
      </w:r>
      <w:r w:rsidR="002813D0" w:rsidRPr="00445D22">
        <w:rPr>
          <w:rFonts w:ascii="Calibri" w:hAnsi="Calibri" w:cs="Calibri"/>
          <w:sz w:val="24"/>
          <w:szCs w:val="24"/>
        </w:rPr>
        <w:t xml:space="preserve"> HLD) lo que se traduce en obras de infraestructura </w:t>
      </w:r>
      <w:r w:rsidRPr="00445D22">
        <w:rPr>
          <w:rFonts w:ascii="Calibri" w:hAnsi="Calibri" w:cs="Calibri"/>
          <w:sz w:val="24"/>
          <w:szCs w:val="24"/>
        </w:rPr>
        <w:t xml:space="preserve">en beneficio </w:t>
      </w:r>
      <w:r w:rsidR="002813D0" w:rsidRPr="00445D22">
        <w:rPr>
          <w:rFonts w:ascii="Calibri" w:hAnsi="Calibri" w:cs="Calibri"/>
          <w:sz w:val="24"/>
          <w:szCs w:val="24"/>
        </w:rPr>
        <w:t>de la población</w:t>
      </w:r>
      <w:r w:rsidRPr="00445D22">
        <w:rPr>
          <w:rFonts w:ascii="Calibri" w:hAnsi="Calibri" w:cs="Calibri"/>
          <w:sz w:val="24"/>
          <w:szCs w:val="24"/>
        </w:rPr>
        <w:t xml:space="preserve"> guatemalteca</w:t>
      </w:r>
      <w:r w:rsidR="002813D0" w:rsidRPr="00445D22">
        <w:rPr>
          <w:rFonts w:ascii="Calibri" w:hAnsi="Calibri" w:cs="Calibri"/>
          <w:sz w:val="24"/>
          <w:szCs w:val="24"/>
        </w:rPr>
        <w:t>.</w:t>
      </w:r>
    </w:p>
    <w:p w14:paraId="7671481E" w14:textId="77777777" w:rsidR="00101368" w:rsidRPr="00445D22" w:rsidRDefault="00101368" w:rsidP="00B41263">
      <w:pPr>
        <w:pStyle w:val="ListParagraph"/>
        <w:spacing w:after="0" w:line="240" w:lineRule="auto"/>
        <w:ind w:left="360"/>
        <w:jc w:val="both"/>
        <w:rPr>
          <w:rFonts w:ascii="Calibri" w:hAnsi="Calibri" w:cs="Calibri"/>
          <w:sz w:val="24"/>
          <w:szCs w:val="24"/>
        </w:rPr>
      </w:pPr>
    </w:p>
    <w:p w14:paraId="72E89AE2" w14:textId="77777777" w:rsidR="002813D0" w:rsidRPr="00445D22" w:rsidRDefault="00F30013" w:rsidP="00396164">
      <w:pPr>
        <w:pStyle w:val="ListParagraph"/>
        <w:numPr>
          <w:ilvl w:val="0"/>
          <w:numId w:val="3"/>
        </w:numPr>
        <w:spacing w:after="0" w:line="240" w:lineRule="auto"/>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continuó </w:t>
      </w:r>
      <w:r w:rsidR="002813D0" w:rsidRPr="00445D22">
        <w:rPr>
          <w:rFonts w:ascii="Calibri" w:hAnsi="Calibri" w:cs="Calibri"/>
          <w:sz w:val="24"/>
          <w:szCs w:val="24"/>
        </w:rPr>
        <w:t xml:space="preserve">trabajando </w:t>
      </w:r>
      <w:r w:rsidRPr="00445D22">
        <w:rPr>
          <w:rFonts w:ascii="Calibri" w:hAnsi="Calibri" w:cs="Calibri"/>
          <w:sz w:val="24"/>
          <w:szCs w:val="24"/>
        </w:rPr>
        <w:t>para la conceptualización y</w:t>
      </w:r>
      <w:r w:rsidR="002813D0" w:rsidRPr="00445D22">
        <w:rPr>
          <w:rFonts w:ascii="Calibri" w:hAnsi="Calibri" w:cs="Calibri"/>
          <w:sz w:val="24"/>
          <w:szCs w:val="24"/>
        </w:rPr>
        <w:t xml:space="preserve"> desarrollo de un Sistema Informático de Gestión Integral</w:t>
      </w:r>
      <w:r w:rsidR="00FE5E4B" w:rsidRPr="00445D22">
        <w:rPr>
          <w:rFonts w:ascii="Calibri" w:hAnsi="Calibri" w:cs="Calibri"/>
          <w:sz w:val="24"/>
          <w:szCs w:val="24"/>
        </w:rPr>
        <w:t xml:space="preserve"> SIGIDICABI</w:t>
      </w:r>
      <w:r w:rsidR="002813D0" w:rsidRPr="00445D22">
        <w:rPr>
          <w:rFonts w:ascii="Calibri" w:hAnsi="Calibri" w:cs="Calibri"/>
          <w:sz w:val="24"/>
          <w:szCs w:val="24"/>
        </w:rPr>
        <w:t>, el cual abarca las funciones sustantivas</w:t>
      </w:r>
      <w:r w:rsidRPr="00445D22">
        <w:rPr>
          <w:rFonts w:ascii="Calibri" w:hAnsi="Calibri" w:cs="Calibri"/>
          <w:sz w:val="24"/>
          <w:szCs w:val="24"/>
        </w:rPr>
        <w:t xml:space="preserve"> como: </w:t>
      </w:r>
      <w:r w:rsidR="002813D0" w:rsidRPr="00445D22">
        <w:rPr>
          <w:rFonts w:ascii="Calibri" w:hAnsi="Calibri" w:cs="Calibri"/>
          <w:sz w:val="24"/>
          <w:szCs w:val="24"/>
        </w:rPr>
        <w:t>Registro Fiscal Inmobiliario, Impuesto Único Sobre Inmuebles y la Valuación I</w:t>
      </w:r>
      <w:r w:rsidRPr="00445D22">
        <w:rPr>
          <w:rFonts w:ascii="Calibri" w:hAnsi="Calibri" w:cs="Calibri"/>
          <w:sz w:val="24"/>
          <w:szCs w:val="24"/>
        </w:rPr>
        <w:t>nmobiliaria (avalúos privados) e</w:t>
      </w:r>
      <w:r w:rsidR="002813D0" w:rsidRPr="00445D22">
        <w:rPr>
          <w:rFonts w:ascii="Calibri" w:hAnsi="Calibri" w:cs="Calibri"/>
          <w:sz w:val="24"/>
          <w:szCs w:val="24"/>
        </w:rPr>
        <w:t>ste proyecto tiene un plazo estimado de tres años</w:t>
      </w:r>
      <w:r w:rsidRPr="00445D22">
        <w:rPr>
          <w:rFonts w:ascii="Calibri" w:hAnsi="Calibri" w:cs="Calibri"/>
          <w:sz w:val="24"/>
          <w:szCs w:val="24"/>
        </w:rPr>
        <w:t xml:space="preserve">, actualmente se está trabajando en el </w:t>
      </w:r>
      <w:r w:rsidR="002813D0" w:rsidRPr="00445D22">
        <w:rPr>
          <w:rFonts w:ascii="Calibri" w:hAnsi="Calibri" w:cs="Calibri"/>
          <w:sz w:val="24"/>
          <w:szCs w:val="24"/>
        </w:rPr>
        <w:t>Módulo de Avisos Notariales, que está integrado por el Casillero del Notario y el Portal Público de la DICABI</w:t>
      </w:r>
      <w:r w:rsidRPr="00445D22">
        <w:rPr>
          <w:rFonts w:ascii="Calibri" w:hAnsi="Calibri" w:cs="Calibri"/>
          <w:sz w:val="24"/>
          <w:szCs w:val="24"/>
        </w:rPr>
        <w:t xml:space="preserve"> / </w:t>
      </w:r>
      <w:r w:rsidR="00204162" w:rsidRPr="00445D22">
        <w:rPr>
          <w:rFonts w:ascii="Calibri" w:hAnsi="Calibri" w:cs="Calibri"/>
          <w:sz w:val="24"/>
          <w:szCs w:val="24"/>
        </w:rPr>
        <w:t>MINFIN</w:t>
      </w:r>
      <w:r w:rsidRPr="00445D22">
        <w:rPr>
          <w:rFonts w:ascii="Calibri" w:hAnsi="Calibri" w:cs="Calibri"/>
          <w:sz w:val="24"/>
          <w:szCs w:val="24"/>
        </w:rPr>
        <w:t xml:space="preserve">. </w:t>
      </w:r>
      <w:r w:rsidR="002813D0" w:rsidRPr="00445D22">
        <w:rPr>
          <w:rFonts w:ascii="Calibri" w:hAnsi="Calibri" w:cs="Calibri"/>
          <w:sz w:val="24"/>
          <w:szCs w:val="24"/>
        </w:rPr>
        <w:t xml:space="preserve"> </w:t>
      </w:r>
    </w:p>
    <w:p w14:paraId="608AD732" w14:textId="77777777" w:rsidR="00FB3ED8" w:rsidRPr="00445D22" w:rsidRDefault="00385E1E" w:rsidP="00396164">
      <w:pPr>
        <w:pStyle w:val="ListParagraph"/>
        <w:numPr>
          <w:ilvl w:val="0"/>
          <w:numId w:val="3"/>
        </w:numPr>
        <w:spacing w:after="0" w:line="240" w:lineRule="auto"/>
        <w:ind w:left="360"/>
        <w:jc w:val="both"/>
        <w:rPr>
          <w:rFonts w:ascii="Calibri" w:hAnsi="Calibri" w:cs="Calibri"/>
          <w:sz w:val="24"/>
          <w:szCs w:val="24"/>
        </w:rPr>
      </w:pPr>
      <w:r w:rsidRPr="00445D22">
        <w:rPr>
          <w:rFonts w:ascii="Calibri" w:hAnsi="Calibri" w:cs="Calibri"/>
          <w:sz w:val="24"/>
          <w:szCs w:val="24"/>
        </w:rPr>
        <w:t>Análisis y evaluación realizad</w:t>
      </w:r>
      <w:r w:rsidR="00103FEA" w:rsidRPr="00445D22">
        <w:rPr>
          <w:rFonts w:ascii="Calibri" w:hAnsi="Calibri" w:cs="Calibri"/>
          <w:sz w:val="24"/>
          <w:szCs w:val="24"/>
        </w:rPr>
        <w:t>a</w:t>
      </w:r>
      <w:r w:rsidRPr="00445D22">
        <w:rPr>
          <w:rFonts w:ascii="Calibri" w:hAnsi="Calibri" w:cs="Calibri"/>
          <w:sz w:val="24"/>
          <w:szCs w:val="24"/>
        </w:rPr>
        <w:t xml:space="preserve"> en coordinación con otras instituciones del Estado sobre el comportamiento de la recaudación fiscal y su impacto</w:t>
      </w:r>
      <w:r w:rsidR="00E55A3B" w:rsidRPr="00445D22">
        <w:rPr>
          <w:rFonts w:ascii="Calibri" w:hAnsi="Calibri" w:cs="Calibri"/>
          <w:sz w:val="24"/>
          <w:szCs w:val="24"/>
        </w:rPr>
        <w:t xml:space="preserve">. </w:t>
      </w:r>
    </w:p>
    <w:p w14:paraId="496E862F" w14:textId="77777777" w:rsidR="00E55A3B" w:rsidRPr="00445D22" w:rsidRDefault="00E55A3B" w:rsidP="00E55A3B">
      <w:pPr>
        <w:pStyle w:val="ListParagraph"/>
        <w:rPr>
          <w:rFonts w:ascii="Calibri" w:hAnsi="Calibri" w:cs="Calibri"/>
          <w:sz w:val="24"/>
          <w:szCs w:val="24"/>
          <w:highlight w:val="yellow"/>
        </w:rPr>
      </w:pPr>
    </w:p>
    <w:p w14:paraId="301E9DEE" w14:textId="77777777" w:rsidR="002D4671" w:rsidRPr="00445D22" w:rsidRDefault="002D4671" w:rsidP="007C3381">
      <w:pPr>
        <w:pStyle w:val="Default"/>
        <w:numPr>
          <w:ilvl w:val="1"/>
          <w:numId w:val="13"/>
        </w:numPr>
        <w:shd w:val="clear" w:color="auto" w:fill="DBE5F1" w:themeFill="accent1" w:themeFillTint="33"/>
        <w:spacing w:after="171"/>
        <w:jc w:val="both"/>
        <w:rPr>
          <w:b/>
        </w:rPr>
      </w:pPr>
      <w:r w:rsidRPr="00445D22">
        <w:rPr>
          <w:rFonts w:eastAsia="Times New Roman"/>
          <w:b/>
          <w:lang w:eastAsia="es-GT"/>
        </w:rPr>
        <w:t xml:space="preserve">Gestión de los egresos: </w:t>
      </w:r>
      <w:r w:rsidRPr="00445D22">
        <w:rPr>
          <w:b/>
        </w:rPr>
        <w:t xml:space="preserve"> </w:t>
      </w:r>
    </w:p>
    <w:p w14:paraId="219D79AC" w14:textId="77777777" w:rsidR="006A3116" w:rsidRPr="00445D22" w:rsidRDefault="006A3116"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en el marco de la transparencia y rendición de cuentas, durante el </w:t>
      </w:r>
      <w:r w:rsidR="00880CC9" w:rsidRPr="00445D22">
        <w:rPr>
          <w:rFonts w:ascii="Calibri" w:hAnsi="Calibri" w:cs="Calibri"/>
          <w:sz w:val="24"/>
          <w:szCs w:val="24"/>
        </w:rPr>
        <w:t>tercer</w:t>
      </w:r>
      <w:r w:rsidRPr="00445D22">
        <w:rPr>
          <w:rFonts w:ascii="Calibri" w:hAnsi="Calibri" w:cs="Calibri"/>
          <w:sz w:val="24"/>
          <w:szCs w:val="24"/>
        </w:rPr>
        <w:t xml:space="preserve"> cuatrimestre de 2021</w:t>
      </w:r>
      <w:r w:rsidR="00562536" w:rsidRPr="00445D22">
        <w:rPr>
          <w:rFonts w:ascii="Calibri" w:hAnsi="Calibri" w:cs="Calibri"/>
          <w:sz w:val="24"/>
          <w:szCs w:val="24"/>
        </w:rPr>
        <w:t xml:space="preserve">, continuó con la realización de importantes avances relacionados con los portales de transparencia fiscal, siendo los siguientes:  </w:t>
      </w:r>
      <w:r w:rsidRPr="00445D22">
        <w:rPr>
          <w:rFonts w:ascii="Calibri" w:hAnsi="Calibri" w:cs="Calibri"/>
          <w:sz w:val="24"/>
          <w:szCs w:val="24"/>
        </w:rPr>
        <w:t xml:space="preserve"> </w:t>
      </w:r>
    </w:p>
    <w:p w14:paraId="31517687" w14:textId="77777777" w:rsidR="00DF4A3F" w:rsidRPr="00445D22" w:rsidRDefault="00DF4A3F" w:rsidP="004443D1">
      <w:pPr>
        <w:pStyle w:val="ListParagraph"/>
        <w:jc w:val="both"/>
        <w:rPr>
          <w:rFonts w:ascii="Calibri" w:hAnsi="Calibri" w:cs="Calibri"/>
          <w:b/>
          <w:sz w:val="24"/>
          <w:szCs w:val="24"/>
        </w:rPr>
      </w:pPr>
    </w:p>
    <w:p w14:paraId="1D3CF7FB" w14:textId="77777777" w:rsidR="00E42FFF" w:rsidRPr="00445D22" w:rsidRDefault="00E42FFF" w:rsidP="00E42FFF">
      <w:pPr>
        <w:pStyle w:val="ListParagraph"/>
        <w:numPr>
          <w:ilvl w:val="0"/>
          <w:numId w:val="14"/>
        </w:numPr>
        <w:rPr>
          <w:rFonts w:ascii="Calibri" w:hAnsi="Calibri" w:cs="Calibri"/>
          <w:sz w:val="24"/>
          <w:szCs w:val="24"/>
        </w:rPr>
      </w:pPr>
      <w:r w:rsidRPr="00445D22">
        <w:rPr>
          <w:rFonts w:ascii="Calibri" w:hAnsi="Calibri" w:cs="Calibri"/>
          <w:b/>
          <w:sz w:val="24"/>
          <w:szCs w:val="24"/>
        </w:rPr>
        <w:t>Portal de Transparencia Presupuestaria</w:t>
      </w:r>
    </w:p>
    <w:p w14:paraId="470210FB" w14:textId="77777777" w:rsidR="00E42FFF" w:rsidRPr="00445D22" w:rsidRDefault="00E42FFF" w:rsidP="00E42FFF">
      <w:pPr>
        <w:pStyle w:val="ListParagraph"/>
        <w:ind w:left="1440"/>
        <w:rPr>
          <w:rFonts w:ascii="Calibri" w:hAnsi="Calibri" w:cs="Calibri"/>
          <w:sz w:val="24"/>
          <w:szCs w:val="24"/>
        </w:rPr>
      </w:pPr>
      <w:r w:rsidRPr="00445D22">
        <w:rPr>
          <w:rFonts w:ascii="Calibri" w:hAnsi="Calibri" w:cs="Calibri"/>
          <w:sz w:val="24"/>
          <w:szCs w:val="24"/>
        </w:rPr>
        <w:t>(</w:t>
      </w:r>
      <w:hyperlink r:id="rId16" w:history="1">
        <w:r w:rsidRPr="00445D22">
          <w:rPr>
            <w:rStyle w:val="Hyperlink"/>
            <w:rFonts w:ascii="Calibri" w:hAnsi="Calibri" w:cs="Calibri"/>
            <w:b/>
            <w:color w:val="0070C0"/>
            <w:sz w:val="24"/>
            <w:szCs w:val="24"/>
          </w:rPr>
          <w:t>https://transparenciapresupuestaria.minfin.gob.gt/</w:t>
        </w:r>
      </w:hyperlink>
      <w:r w:rsidRPr="00445D22">
        <w:rPr>
          <w:rFonts w:ascii="Calibri" w:hAnsi="Calibri" w:cs="Calibri"/>
          <w:b/>
          <w:sz w:val="24"/>
          <w:szCs w:val="24"/>
        </w:rPr>
        <w:t xml:space="preserve">) </w:t>
      </w:r>
      <w:r w:rsidRPr="00445D22">
        <w:rPr>
          <w:rFonts w:ascii="Calibri" w:hAnsi="Calibri" w:cs="Calibri"/>
          <w:sz w:val="24"/>
          <w:szCs w:val="24"/>
        </w:rPr>
        <w:t xml:space="preserve"> </w:t>
      </w:r>
    </w:p>
    <w:p w14:paraId="35523AE3" w14:textId="77777777" w:rsidR="00E42FFF" w:rsidRPr="00445D22" w:rsidRDefault="00E42FFF" w:rsidP="00E42FFF">
      <w:pPr>
        <w:pStyle w:val="ListParagraph"/>
        <w:numPr>
          <w:ilvl w:val="0"/>
          <w:numId w:val="14"/>
        </w:numPr>
        <w:rPr>
          <w:rFonts w:ascii="Calibri" w:hAnsi="Calibri" w:cs="Calibri"/>
          <w:b/>
          <w:sz w:val="24"/>
          <w:szCs w:val="24"/>
        </w:rPr>
      </w:pPr>
      <w:r w:rsidRPr="00445D22">
        <w:rPr>
          <w:rFonts w:ascii="Calibri" w:hAnsi="Calibri" w:cs="Calibri"/>
          <w:b/>
          <w:sz w:val="24"/>
          <w:szCs w:val="24"/>
        </w:rPr>
        <w:t>Portal de datos abiertos (</w:t>
      </w:r>
      <w:hyperlink r:id="rId17" w:history="1">
        <w:r w:rsidRPr="00445D22">
          <w:rPr>
            <w:rStyle w:val="Hyperlink"/>
            <w:rFonts w:ascii="Calibri" w:hAnsi="Calibri" w:cs="Calibri"/>
            <w:b/>
            <w:color w:val="0070C0"/>
            <w:sz w:val="24"/>
            <w:szCs w:val="24"/>
          </w:rPr>
          <w:t>https://datos.minfin.gob.gt/</w:t>
        </w:r>
      </w:hyperlink>
      <w:r w:rsidRPr="00445D22">
        <w:rPr>
          <w:rFonts w:ascii="Calibri" w:hAnsi="Calibri" w:cs="Calibri"/>
          <w:b/>
          <w:sz w:val="24"/>
          <w:szCs w:val="24"/>
        </w:rPr>
        <w:t xml:space="preserve">) </w:t>
      </w:r>
    </w:p>
    <w:p w14:paraId="2EA9D7CE" w14:textId="77777777" w:rsidR="00E42FFF" w:rsidRPr="00445D22" w:rsidRDefault="00E42FFF" w:rsidP="00E42FFF">
      <w:pPr>
        <w:pStyle w:val="ListParagraph"/>
        <w:numPr>
          <w:ilvl w:val="0"/>
          <w:numId w:val="14"/>
        </w:numPr>
        <w:rPr>
          <w:rFonts w:ascii="Calibri" w:hAnsi="Calibri" w:cs="Calibri"/>
          <w:b/>
          <w:sz w:val="24"/>
          <w:szCs w:val="24"/>
        </w:rPr>
      </w:pPr>
      <w:r w:rsidRPr="00445D22">
        <w:rPr>
          <w:rFonts w:ascii="Calibri" w:hAnsi="Calibri" w:cs="Calibri"/>
          <w:b/>
          <w:sz w:val="24"/>
          <w:szCs w:val="24"/>
        </w:rPr>
        <w:t>Portal de ONG / Sistema de transferencias, subsidios y subvenciones (</w:t>
      </w:r>
      <w:hyperlink r:id="rId18" w:history="1">
        <w:r w:rsidRPr="00445D22">
          <w:rPr>
            <w:rStyle w:val="Hyperlink"/>
            <w:rFonts w:ascii="Calibri" w:hAnsi="Calibri" w:cs="Calibri"/>
            <w:b/>
            <w:color w:val="0070C0"/>
            <w:sz w:val="24"/>
            <w:szCs w:val="24"/>
          </w:rPr>
          <w:t>https://portalong.minfin.gob.gt/</w:t>
        </w:r>
      </w:hyperlink>
      <w:r w:rsidRPr="00445D22">
        <w:rPr>
          <w:rFonts w:ascii="Calibri" w:hAnsi="Calibri" w:cs="Calibri"/>
          <w:b/>
          <w:sz w:val="24"/>
          <w:szCs w:val="24"/>
        </w:rPr>
        <w:t>)</w:t>
      </w:r>
    </w:p>
    <w:p w14:paraId="44C8BC4C" w14:textId="77777777" w:rsidR="00E42FFF" w:rsidRPr="00445D22" w:rsidRDefault="00E42FFF" w:rsidP="00E42FFF">
      <w:pPr>
        <w:pStyle w:val="ListParagraph"/>
        <w:numPr>
          <w:ilvl w:val="0"/>
          <w:numId w:val="14"/>
        </w:numPr>
        <w:rPr>
          <w:rFonts w:ascii="Calibri" w:hAnsi="Calibri" w:cs="Calibri"/>
          <w:b/>
          <w:sz w:val="24"/>
          <w:szCs w:val="24"/>
        </w:rPr>
      </w:pPr>
      <w:r w:rsidRPr="00445D22">
        <w:rPr>
          <w:rFonts w:ascii="Calibri" w:hAnsi="Calibri" w:cs="Calibri"/>
          <w:b/>
          <w:sz w:val="24"/>
          <w:szCs w:val="24"/>
        </w:rPr>
        <w:t>Portal de Fideicomisos de la Administración Central en la Página Web (</w:t>
      </w:r>
      <w:hyperlink r:id="rId19" w:history="1">
        <w:r w:rsidRPr="00445D22">
          <w:rPr>
            <w:rStyle w:val="Hyperlink"/>
            <w:rFonts w:ascii="Calibri" w:hAnsi="Calibri" w:cs="Calibri"/>
            <w:b/>
            <w:color w:val="0070C0"/>
            <w:sz w:val="24"/>
            <w:szCs w:val="24"/>
          </w:rPr>
          <w:t>https://portalfideicomisos.minfin.gob.gt/</w:t>
        </w:r>
      </w:hyperlink>
      <w:r w:rsidRPr="00445D22">
        <w:rPr>
          <w:rFonts w:ascii="Calibri" w:hAnsi="Calibri" w:cs="Calibri"/>
          <w:b/>
          <w:sz w:val="24"/>
          <w:szCs w:val="24"/>
        </w:rPr>
        <w:t>).</w:t>
      </w:r>
    </w:p>
    <w:p w14:paraId="63EC8DDE" w14:textId="77777777" w:rsidR="00E42FFF" w:rsidRPr="00445D22" w:rsidRDefault="00E42FFF" w:rsidP="00E42FFF">
      <w:pPr>
        <w:pStyle w:val="ListParagraph"/>
        <w:numPr>
          <w:ilvl w:val="0"/>
          <w:numId w:val="14"/>
        </w:numPr>
        <w:rPr>
          <w:rFonts w:ascii="Calibri" w:hAnsi="Calibri" w:cs="Calibri"/>
          <w:b/>
          <w:sz w:val="24"/>
          <w:szCs w:val="24"/>
        </w:rPr>
      </w:pPr>
      <w:r w:rsidRPr="00445D22">
        <w:rPr>
          <w:rFonts w:ascii="Calibri" w:hAnsi="Calibri" w:cs="Calibri"/>
          <w:b/>
          <w:sz w:val="24"/>
          <w:szCs w:val="24"/>
        </w:rPr>
        <w:t>Portal de Cobros en Línea a través del Portal GL con Tarjeta de crédito y débito a nivel de gobiernos locales. (</w:t>
      </w:r>
      <w:hyperlink r:id="rId20" w:history="1">
        <w:r w:rsidRPr="00445D22">
          <w:rPr>
            <w:rStyle w:val="Hyperlink"/>
            <w:rFonts w:ascii="Calibri" w:hAnsi="Calibri" w:cs="Calibri"/>
            <w:b/>
            <w:color w:val="0070C0"/>
            <w:sz w:val="24"/>
            <w:szCs w:val="24"/>
          </w:rPr>
          <w:t>https://portalgl.minfin.gob.gt/</w:t>
        </w:r>
      </w:hyperlink>
      <w:r w:rsidRPr="00445D22">
        <w:rPr>
          <w:rFonts w:ascii="Calibri" w:hAnsi="Calibri" w:cs="Calibri"/>
          <w:b/>
          <w:sz w:val="24"/>
          <w:szCs w:val="24"/>
        </w:rPr>
        <w:t xml:space="preserve">)  </w:t>
      </w:r>
    </w:p>
    <w:p w14:paraId="050B6AD3" w14:textId="77777777" w:rsidR="00E42FFF" w:rsidRPr="00445D22" w:rsidRDefault="00E42FFF" w:rsidP="00E42FFF">
      <w:pPr>
        <w:pStyle w:val="ListParagraph"/>
        <w:numPr>
          <w:ilvl w:val="0"/>
          <w:numId w:val="14"/>
        </w:numPr>
        <w:rPr>
          <w:rFonts w:ascii="Calibri" w:hAnsi="Calibri" w:cs="Calibri"/>
          <w:b/>
          <w:sz w:val="24"/>
          <w:szCs w:val="24"/>
        </w:rPr>
      </w:pPr>
      <w:r w:rsidRPr="00445D22">
        <w:rPr>
          <w:rFonts w:ascii="Calibri" w:hAnsi="Calibri" w:cs="Calibri"/>
          <w:b/>
          <w:sz w:val="24"/>
          <w:szCs w:val="24"/>
        </w:rPr>
        <w:t>Portal de Préstamos Externos. (</w:t>
      </w:r>
      <w:hyperlink r:id="rId21" w:history="1">
        <w:r w:rsidRPr="00445D22">
          <w:rPr>
            <w:rStyle w:val="Hyperlink"/>
            <w:rFonts w:ascii="Calibri" w:hAnsi="Calibri" w:cs="Calibri"/>
            <w:b/>
            <w:color w:val="0070C0"/>
            <w:sz w:val="24"/>
            <w:szCs w:val="24"/>
          </w:rPr>
          <w:t>https://prestamosexternos.minfin.gob.gt/</w:t>
        </w:r>
      </w:hyperlink>
      <w:r w:rsidRPr="00445D22">
        <w:rPr>
          <w:rFonts w:ascii="Calibri" w:hAnsi="Calibri" w:cs="Calibri"/>
          <w:b/>
          <w:sz w:val="24"/>
          <w:szCs w:val="24"/>
        </w:rPr>
        <w:t xml:space="preserve">) </w:t>
      </w:r>
    </w:p>
    <w:p w14:paraId="220DC6B8" w14:textId="77777777" w:rsidR="00E42FFF" w:rsidRPr="00445D22" w:rsidRDefault="00D40F65" w:rsidP="00D40F65">
      <w:pPr>
        <w:pStyle w:val="ListParagraph"/>
        <w:numPr>
          <w:ilvl w:val="0"/>
          <w:numId w:val="14"/>
        </w:numPr>
        <w:rPr>
          <w:rFonts w:ascii="Calibri" w:hAnsi="Calibri" w:cs="Calibri"/>
          <w:b/>
          <w:sz w:val="24"/>
          <w:szCs w:val="24"/>
        </w:rPr>
      </w:pPr>
      <w:r w:rsidRPr="00445D22">
        <w:rPr>
          <w:rFonts w:ascii="Calibri" w:hAnsi="Calibri" w:cs="Calibri"/>
          <w:b/>
          <w:sz w:val="24"/>
          <w:szCs w:val="24"/>
        </w:rPr>
        <w:t>Portal de Transparencia Fiscal</w:t>
      </w:r>
      <w:r w:rsidR="00E42FFF" w:rsidRPr="00445D22">
        <w:rPr>
          <w:rFonts w:ascii="Calibri" w:hAnsi="Calibri" w:cs="Calibri"/>
          <w:b/>
          <w:sz w:val="24"/>
          <w:szCs w:val="24"/>
        </w:rPr>
        <w:t>. (</w:t>
      </w:r>
      <w:r w:rsidRPr="00445D22">
        <w:rPr>
          <w:rStyle w:val="Hyperlink"/>
          <w:rFonts w:ascii="Calibri" w:hAnsi="Calibri" w:cs="Calibri"/>
          <w:b/>
          <w:color w:val="0070C0"/>
          <w:sz w:val="24"/>
          <w:szCs w:val="24"/>
        </w:rPr>
        <w:t>https://transparencia.minfin.gob.gt/</w:t>
      </w:r>
      <w:r w:rsidR="00E42FFF" w:rsidRPr="00445D22">
        <w:rPr>
          <w:rFonts w:ascii="Calibri" w:hAnsi="Calibri" w:cs="Calibri"/>
          <w:b/>
          <w:sz w:val="24"/>
          <w:szCs w:val="24"/>
        </w:rPr>
        <w:t xml:space="preserve">) </w:t>
      </w:r>
    </w:p>
    <w:p w14:paraId="058D3ED0" w14:textId="77777777" w:rsidR="00DF4A3F" w:rsidRPr="00445D22" w:rsidRDefault="00DF4A3F" w:rsidP="004443D1">
      <w:pPr>
        <w:pStyle w:val="ListParagraph"/>
        <w:jc w:val="both"/>
        <w:rPr>
          <w:rFonts w:ascii="Calibri" w:hAnsi="Calibri" w:cs="Calibri"/>
          <w:b/>
          <w:sz w:val="24"/>
          <w:szCs w:val="24"/>
        </w:rPr>
      </w:pPr>
    </w:p>
    <w:p w14:paraId="16AF6D5C"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El Ministerio de Finanzas Públicas (MINFIN), cumplió con las gestiones para el incremento al presupuesto del MSPAS en Q1,878.0 millones de acuerdo al Decreto 11-2021 del Congreso de la República; especialmente destinados para continuar atendiendo la emerge</w:t>
      </w:r>
      <w:r w:rsidR="00E92A90" w:rsidRPr="00445D22">
        <w:rPr>
          <w:rFonts w:ascii="Calibri" w:hAnsi="Calibri" w:cs="Calibri"/>
          <w:sz w:val="24"/>
          <w:szCs w:val="24"/>
        </w:rPr>
        <w:t>ncia ocasionada por el COVID-19</w:t>
      </w:r>
      <w:r w:rsidRPr="00445D22">
        <w:rPr>
          <w:rFonts w:ascii="Calibri" w:hAnsi="Calibri" w:cs="Calibri"/>
          <w:sz w:val="24"/>
          <w:szCs w:val="24"/>
        </w:rPr>
        <w:t>.</w:t>
      </w:r>
    </w:p>
    <w:p w14:paraId="630313F3" w14:textId="77777777" w:rsidR="002A021E" w:rsidRPr="00445D22" w:rsidRDefault="002A021E" w:rsidP="002A021E">
      <w:pPr>
        <w:pStyle w:val="ListParagraph"/>
        <w:rPr>
          <w:rFonts w:ascii="Calibri" w:hAnsi="Calibri" w:cs="Calibri"/>
          <w:sz w:val="24"/>
          <w:szCs w:val="24"/>
        </w:rPr>
      </w:pPr>
    </w:p>
    <w:p w14:paraId="08212D98" w14:textId="77777777" w:rsidR="002A021E" w:rsidRPr="00445D22" w:rsidRDefault="002A021E"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Minfin emitió, medidas de trasparencia para fortalecer la calidad del gasto público, con el objetivo de velar por la calidad y transparencia de los recursos públicos en la ejecución del presupuesto y lograr la reactivación económica y social. </w:t>
      </w:r>
    </w:p>
    <w:p w14:paraId="7BDECB4D" w14:textId="77777777" w:rsidR="000879F9" w:rsidRPr="00445D22" w:rsidRDefault="000879F9" w:rsidP="000879F9">
      <w:pPr>
        <w:pStyle w:val="ListParagraph"/>
        <w:rPr>
          <w:rFonts w:ascii="Calibri" w:hAnsi="Calibri" w:cs="Calibri"/>
          <w:sz w:val="24"/>
          <w:szCs w:val="24"/>
        </w:rPr>
      </w:pPr>
    </w:p>
    <w:p w14:paraId="2D2A33D2"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eastAsia="Times New Roman" w:hAnsi="Calibri" w:cs="Calibri"/>
          <w:sz w:val="24"/>
          <w:szCs w:val="24"/>
        </w:rPr>
        <w:t>Formulado el proyecto de Emisiones de Bonos de Carbono (Co2e), denominado Programa de Reducción de Emisiones de Guatemala</w:t>
      </w:r>
      <w:r w:rsidR="00E8328A" w:rsidRPr="00445D22">
        <w:rPr>
          <w:rFonts w:ascii="Calibri" w:eastAsia="Times New Roman" w:hAnsi="Calibri" w:cs="Calibri"/>
          <w:sz w:val="24"/>
          <w:szCs w:val="24"/>
        </w:rPr>
        <w:t>.</w:t>
      </w:r>
    </w:p>
    <w:p w14:paraId="4712DA07" w14:textId="77777777" w:rsidR="000D0B79" w:rsidRPr="00445D22" w:rsidRDefault="000D0B79" w:rsidP="000D0B79">
      <w:pPr>
        <w:pStyle w:val="ListParagraph"/>
        <w:rPr>
          <w:rFonts w:ascii="Calibri" w:hAnsi="Calibri" w:cs="Calibri"/>
          <w:sz w:val="24"/>
          <w:szCs w:val="24"/>
        </w:rPr>
      </w:pPr>
    </w:p>
    <w:p w14:paraId="3943171C"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El MINFIN ha formulado una propuesta de la Política Fiscal Ambiental (EFA)</w:t>
      </w:r>
      <w:r w:rsidR="00E92A90" w:rsidRPr="00445D22">
        <w:rPr>
          <w:rFonts w:ascii="Calibri" w:hAnsi="Calibri" w:cs="Calibri"/>
          <w:sz w:val="24"/>
          <w:szCs w:val="24"/>
        </w:rPr>
        <w:t>.</w:t>
      </w:r>
    </w:p>
    <w:p w14:paraId="5DDA5B78" w14:textId="77777777" w:rsidR="000D0B79" w:rsidRPr="00445D22" w:rsidRDefault="000D0B79" w:rsidP="000D0B79">
      <w:pPr>
        <w:pStyle w:val="ListParagraph"/>
        <w:ind w:left="360"/>
        <w:jc w:val="both"/>
        <w:rPr>
          <w:rFonts w:ascii="Calibri" w:hAnsi="Calibri" w:cs="Calibri"/>
          <w:sz w:val="24"/>
          <w:szCs w:val="24"/>
        </w:rPr>
      </w:pPr>
    </w:p>
    <w:p w14:paraId="1CF403AE" w14:textId="77777777" w:rsidR="00CC10E8" w:rsidRPr="00445D22" w:rsidRDefault="00CC10E8"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a través de la Tesorería Nacional</w:t>
      </w:r>
      <w:r w:rsidR="0056369F" w:rsidRPr="00445D22">
        <w:rPr>
          <w:rFonts w:ascii="Calibri" w:hAnsi="Calibri" w:cs="Calibri"/>
          <w:sz w:val="24"/>
          <w:szCs w:val="24"/>
        </w:rPr>
        <w:t>,</w:t>
      </w:r>
      <w:r w:rsidRPr="00445D22">
        <w:rPr>
          <w:rFonts w:ascii="Calibri" w:hAnsi="Calibri" w:cs="Calibri"/>
          <w:sz w:val="24"/>
          <w:szCs w:val="24"/>
        </w:rPr>
        <w:t xml:space="preserve"> realizó el proceso de incorporación de entidades descentralizadas</w:t>
      </w:r>
      <w:r w:rsidR="00E92A90" w:rsidRPr="00445D22">
        <w:rPr>
          <w:rFonts w:ascii="Calibri" w:hAnsi="Calibri" w:cs="Calibri"/>
          <w:sz w:val="24"/>
          <w:szCs w:val="24"/>
        </w:rPr>
        <w:t>,</w:t>
      </w:r>
      <w:r w:rsidRPr="00445D22">
        <w:rPr>
          <w:rFonts w:ascii="Calibri" w:hAnsi="Calibri" w:cs="Calibri"/>
          <w:sz w:val="24"/>
          <w:szCs w:val="24"/>
        </w:rPr>
        <w:t xml:space="preserve"> a la Liquidación de Pagos a través de T</w:t>
      </w:r>
      <w:r w:rsidR="00DE514D" w:rsidRPr="00445D22">
        <w:rPr>
          <w:rFonts w:ascii="Calibri" w:hAnsi="Calibri" w:cs="Calibri"/>
          <w:sz w:val="24"/>
          <w:szCs w:val="24"/>
        </w:rPr>
        <w:t>ransferencia</w:t>
      </w:r>
      <w:r w:rsidR="008A33F4" w:rsidRPr="00445D22">
        <w:rPr>
          <w:rFonts w:ascii="Calibri" w:hAnsi="Calibri" w:cs="Calibri"/>
          <w:sz w:val="24"/>
          <w:szCs w:val="24"/>
        </w:rPr>
        <w:t xml:space="preserve">s </w:t>
      </w:r>
      <w:r w:rsidR="008A33F4" w:rsidRPr="00445D22">
        <w:rPr>
          <w:rFonts w:ascii="Calibri" w:hAnsi="Calibri" w:cs="Calibri"/>
          <w:sz w:val="24"/>
          <w:szCs w:val="24"/>
        </w:rPr>
        <w:lastRenderedPageBreak/>
        <w:t>electrónicas de fondos</w:t>
      </w:r>
      <w:r w:rsidR="00E92A90" w:rsidRPr="00445D22">
        <w:rPr>
          <w:rFonts w:ascii="Calibri" w:hAnsi="Calibri" w:cs="Calibri"/>
          <w:sz w:val="24"/>
          <w:szCs w:val="24"/>
        </w:rPr>
        <w:t>,</w:t>
      </w:r>
      <w:r w:rsidR="008A33F4" w:rsidRPr="00445D22">
        <w:rPr>
          <w:rFonts w:ascii="Calibri" w:hAnsi="Calibri" w:cs="Calibri"/>
          <w:sz w:val="24"/>
          <w:szCs w:val="24"/>
        </w:rPr>
        <w:t xml:space="preserve"> utilizando el SICOINDES con interface al sistema LBTR</w:t>
      </w:r>
      <w:r w:rsidR="00DE514D" w:rsidRPr="00445D22">
        <w:rPr>
          <w:rFonts w:ascii="Calibri" w:hAnsi="Calibri" w:cs="Calibri"/>
          <w:sz w:val="24"/>
          <w:szCs w:val="24"/>
        </w:rPr>
        <w:t xml:space="preserve">, </w:t>
      </w:r>
      <w:r w:rsidRPr="00445D22">
        <w:rPr>
          <w:rFonts w:ascii="Calibri" w:hAnsi="Calibri" w:cs="Calibri"/>
          <w:sz w:val="24"/>
          <w:szCs w:val="24"/>
        </w:rPr>
        <w:t xml:space="preserve">cuyo objetivo es eliminar la utilización de cheques. </w:t>
      </w:r>
    </w:p>
    <w:p w14:paraId="583DF211" w14:textId="77777777" w:rsidR="001D2184" w:rsidRPr="00445D22" w:rsidRDefault="001D2184" w:rsidP="001D2184">
      <w:pPr>
        <w:pStyle w:val="ListParagraph"/>
        <w:rPr>
          <w:rFonts w:ascii="Calibri" w:hAnsi="Calibri" w:cs="Calibri"/>
          <w:sz w:val="24"/>
          <w:szCs w:val="24"/>
        </w:rPr>
      </w:pPr>
    </w:p>
    <w:p w14:paraId="5B7C576E" w14:textId="77777777" w:rsidR="001D2184" w:rsidRPr="00445D22" w:rsidRDefault="001D2184"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plan piloto del Fondo Rotativo Institucional con Tarjeta de Compras Institucional está finalizado, incorpora a todas las unidades ejecutoras del MINFIN, </w:t>
      </w:r>
      <w:r w:rsidR="00E92A90" w:rsidRPr="00445D22">
        <w:rPr>
          <w:rFonts w:ascii="Calibri" w:hAnsi="Calibri" w:cs="Calibri"/>
          <w:sz w:val="24"/>
          <w:szCs w:val="24"/>
        </w:rPr>
        <w:t>como una</w:t>
      </w:r>
      <w:r w:rsidRPr="00445D22">
        <w:rPr>
          <w:rFonts w:ascii="Calibri" w:hAnsi="Calibri" w:cs="Calibri"/>
          <w:sz w:val="24"/>
          <w:szCs w:val="24"/>
        </w:rPr>
        <w:t xml:space="preserve"> nueva modalidad de pago. Asimismo, se implementó en el Ministerio de Economía y Ministerio de Trabajo.</w:t>
      </w:r>
    </w:p>
    <w:p w14:paraId="4C330E52" w14:textId="77777777" w:rsidR="001D2184" w:rsidRPr="00445D22" w:rsidRDefault="001D2184" w:rsidP="001D2184">
      <w:pPr>
        <w:pStyle w:val="ListParagraph"/>
        <w:rPr>
          <w:rFonts w:ascii="Calibri" w:hAnsi="Calibri" w:cs="Calibri"/>
          <w:sz w:val="24"/>
          <w:szCs w:val="24"/>
        </w:rPr>
      </w:pPr>
    </w:p>
    <w:p w14:paraId="5DB94730" w14:textId="77777777" w:rsidR="001D2184" w:rsidRPr="00445D22" w:rsidRDefault="008A33F4"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Implementado el informe de disponibilidad de caja y demanda de pagos, que permite contar con información oportuna sobre la disponibilidad de los recursos a primera hora del día, así como la demanda de pagos de las diferentes Entidades de Gobierno Central, es un insumo para la toma de decisiones</w:t>
      </w:r>
      <w:r w:rsidR="00E92A90" w:rsidRPr="00445D22">
        <w:rPr>
          <w:rFonts w:ascii="Calibri" w:hAnsi="Calibri" w:cs="Calibri"/>
          <w:sz w:val="24"/>
          <w:szCs w:val="24"/>
        </w:rPr>
        <w:t>,</w:t>
      </w:r>
      <w:r w:rsidRPr="00445D22">
        <w:rPr>
          <w:rFonts w:ascii="Calibri" w:hAnsi="Calibri" w:cs="Calibri"/>
          <w:sz w:val="24"/>
          <w:szCs w:val="24"/>
        </w:rPr>
        <w:t xml:space="preserve"> respecto a la gestión de la solicitud de Visa Global de Fondos ante la Contraloría General de Cuentas y Banco de Guatemala.</w:t>
      </w:r>
    </w:p>
    <w:p w14:paraId="27ECEFC1" w14:textId="77777777" w:rsidR="008A33F4" w:rsidRPr="00445D22" w:rsidRDefault="008A33F4" w:rsidP="008A33F4">
      <w:pPr>
        <w:pStyle w:val="ListParagraph"/>
        <w:rPr>
          <w:rFonts w:ascii="Calibri" w:hAnsi="Calibri" w:cs="Calibri"/>
          <w:sz w:val="24"/>
          <w:szCs w:val="24"/>
        </w:rPr>
      </w:pPr>
    </w:p>
    <w:p w14:paraId="47B6877E" w14:textId="77777777" w:rsidR="008A33F4" w:rsidRPr="00445D22" w:rsidRDefault="008A33F4"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Realizado programa de capacitaciones sobre sistemas de tesorería, dirigido a 720 personas del MINFIN, Ministerios, Secretarías y Otras Entidades del Ejecutivo,  específicamente sobre el Módulo de Tesorería, Modulo Banca Virtual en el Sistema de Contabilidad Integrada -SICOIN- y módulo de Tesorería del Sistema de Contabilidad Integrada para entidades Descentralizadas.</w:t>
      </w:r>
    </w:p>
    <w:p w14:paraId="4078D872" w14:textId="77777777" w:rsidR="000D0B79" w:rsidRPr="00445D22" w:rsidRDefault="000D0B79" w:rsidP="000D0B79">
      <w:pPr>
        <w:pStyle w:val="ListParagraph"/>
        <w:rPr>
          <w:rFonts w:ascii="Calibri" w:hAnsi="Calibri" w:cs="Calibri"/>
          <w:sz w:val="24"/>
          <w:szCs w:val="24"/>
        </w:rPr>
      </w:pPr>
    </w:p>
    <w:p w14:paraId="771467ED"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En el marco del COVID 19, los pensionados del Estado, pueden gestionar el acta de supervivencia en cualquier municipalidad y/o gobernación departamental, aprobado por el Congreso de la República, mediante el Decreto 17-2021.</w:t>
      </w:r>
    </w:p>
    <w:p w14:paraId="64E3D91F" w14:textId="77777777" w:rsidR="000D0B79" w:rsidRPr="00445D22" w:rsidRDefault="000D0B79" w:rsidP="000D0B79">
      <w:pPr>
        <w:pStyle w:val="ListParagraph"/>
        <w:rPr>
          <w:rFonts w:ascii="Calibri" w:hAnsi="Calibri" w:cs="Calibri"/>
          <w:sz w:val="24"/>
          <w:szCs w:val="24"/>
        </w:rPr>
      </w:pPr>
    </w:p>
    <w:p w14:paraId="140D5501"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Atendidas las recomendaciones sobre buenas prácticas internacionales en materia de gestión de riesgos de las finanzas públicas y transparencia fiscal</w:t>
      </w:r>
      <w:r w:rsidR="00E92A90" w:rsidRPr="00445D22">
        <w:rPr>
          <w:rFonts w:ascii="Calibri" w:hAnsi="Calibri" w:cs="Calibri"/>
          <w:sz w:val="24"/>
          <w:szCs w:val="24"/>
        </w:rPr>
        <w:t>,</w:t>
      </w:r>
      <w:r w:rsidRPr="00445D22">
        <w:rPr>
          <w:rFonts w:ascii="Calibri" w:hAnsi="Calibri" w:cs="Calibri"/>
          <w:sz w:val="24"/>
          <w:szCs w:val="24"/>
        </w:rPr>
        <w:t xml:space="preserve"> por organismos internacionales y calificadoras de riesgo. Recientemente se tuvo la visita de funcionarios de los Ministerios de Finanzas Públicas y Economía, a Estados Unidos de Norteamérica con la finalidad de sostener reuniones con las calificadoras indicadas. </w:t>
      </w:r>
    </w:p>
    <w:p w14:paraId="5E82B990" w14:textId="77777777" w:rsidR="00470503" w:rsidRPr="00445D22" w:rsidRDefault="00470503" w:rsidP="00470503">
      <w:pPr>
        <w:pStyle w:val="ListParagraph"/>
        <w:rPr>
          <w:rFonts w:ascii="Calibri" w:hAnsi="Calibri" w:cs="Calibri"/>
          <w:sz w:val="24"/>
          <w:szCs w:val="24"/>
        </w:rPr>
      </w:pPr>
    </w:p>
    <w:p w14:paraId="5815BDFA" w14:textId="77777777" w:rsidR="00470503" w:rsidRPr="00445D22" w:rsidRDefault="00470503"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Implementado proyecto del modelo de formación y desarrollo profesional en materia de adquisiciones públicas, habiéndose capacitado a 19,029 personas.</w:t>
      </w:r>
    </w:p>
    <w:p w14:paraId="5525F28A" w14:textId="77777777" w:rsidR="00470503" w:rsidRPr="00445D22" w:rsidRDefault="00470503" w:rsidP="00470503">
      <w:pPr>
        <w:pStyle w:val="ListParagraph"/>
        <w:ind w:left="360"/>
        <w:jc w:val="both"/>
        <w:rPr>
          <w:rFonts w:ascii="Calibri" w:hAnsi="Calibri" w:cs="Calibri"/>
          <w:sz w:val="24"/>
          <w:szCs w:val="24"/>
        </w:rPr>
      </w:pPr>
    </w:p>
    <w:p w14:paraId="2BD6865B"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Se continuó promoviendo la transparencia y la rendición de cuentas, a través de la implementación de buenas prácticas por medio de dos acciones: primero, el ejercicio de Presupuesto Abierto y segundo, el diseño, rediseño e implementación de portales de </w:t>
      </w:r>
      <w:r w:rsidRPr="00445D22">
        <w:rPr>
          <w:rFonts w:ascii="Calibri" w:hAnsi="Calibri" w:cs="Calibri"/>
          <w:sz w:val="24"/>
          <w:szCs w:val="24"/>
        </w:rPr>
        <w:lastRenderedPageBreak/>
        <w:t xml:space="preserve">transparencia fiscal, logrando que la ciudadanía disponga de información en formatos abiertos, con calidad y pertinencia. </w:t>
      </w:r>
    </w:p>
    <w:p w14:paraId="5FED0BF3" w14:textId="77777777" w:rsidR="000D0B79" w:rsidRPr="00445D22" w:rsidRDefault="000D0B79" w:rsidP="000D0B79">
      <w:pPr>
        <w:pStyle w:val="ListParagraph"/>
        <w:rPr>
          <w:rFonts w:ascii="Calibri" w:hAnsi="Calibri" w:cs="Calibri"/>
          <w:sz w:val="24"/>
          <w:szCs w:val="24"/>
        </w:rPr>
      </w:pPr>
    </w:p>
    <w:p w14:paraId="23F060A4" w14:textId="77777777" w:rsidR="00470503" w:rsidRPr="00445D22" w:rsidRDefault="00470503"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MINFIN </w:t>
      </w:r>
      <w:r w:rsidR="00E92A90" w:rsidRPr="00445D22">
        <w:rPr>
          <w:rFonts w:ascii="Calibri" w:hAnsi="Calibri" w:cs="Calibri"/>
          <w:sz w:val="24"/>
          <w:szCs w:val="24"/>
        </w:rPr>
        <w:t>i</w:t>
      </w:r>
      <w:r w:rsidRPr="00445D22">
        <w:rPr>
          <w:rFonts w:ascii="Calibri" w:hAnsi="Calibri" w:cs="Calibri"/>
          <w:sz w:val="24"/>
          <w:szCs w:val="24"/>
        </w:rPr>
        <w:t>mplementa la Estrategia Financiera ante riesgos de desastres, para fortalecer la resiliencia económica y fiscal del país.</w:t>
      </w:r>
    </w:p>
    <w:p w14:paraId="57B8349D" w14:textId="77777777" w:rsidR="00470503" w:rsidRPr="00445D22" w:rsidRDefault="00470503" w:rsidP="00470503">
      <w:pPr>
        <w:pStyle w:val="ListParagraph"/>
        <w:ind w:left="360"/>
        <w:jc w:val="both"/>
        <w:rPr>
          <w:rFonts w:ascii="Calibri" w:hAnsi="Calibri" w:cs="Calibri"/>
          <w:sz w:val="24"/>
          <w:szCs w:val="24"/>
        </w:rPr>
      </w:pPr>
    </w:p>
    <w:p w14:paraId="50C75E59" w14:textId="77777777" w:rsidR="00DE514D" w:rsidRPr="00445D22" w:rsidRDefault="00507675"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implementó m</w:t>
      </w:r>
      <w:r w:rsidR="00DE514D" w:rsidRPr="00445D22">
        <w:rPr>
          <w:rFonts w:ascii="Calibri" w:hAnsi="Calibri" w:cs="Calibri"/>
          <w:sz w:val="24"/>
          <w:szCs w:val="24"/>
        </w:rPr>
        <w:t>ejoras al módulo del renglón 029 - Otras remuneraciones de personal temporal, al cual se le incluyeron opciones para la elaboración de las programaciones y reprogramaciones de servicios a través del Sistema Guatenóminas</w:t>
      </w:r>
      <w:r w:rsidR="00B27313" w:rsidRPr="00445D22">
        <w:rPr>
          <w:rFonts w:ascii="Calibri" w:hAnsi="Calibri" w:cs="Calibri"/>
          <w:sz w:val="24"/>
          <w:szCs w:val="24"/>
        </w:rPr>
        <w:t>.</w:t>
      </w:r>
    </w:p>
    <w:p w14:paraId="0B7B6B14" w14:textId="77777777" w:rsidR="000D0B79" w:rsidRPr="00445D22" w:rsidRDefault="000D0B79" w:rsidP="000D0B79">
      <w:pPr>
        <w:pStyle w:val="ListParagraph"/>
        <w:ind w:left="360"/>
        <w:jc w:val="both"/>
        <w:rPr>
          <w:rFonts w:ascii="Calibri" w:hAnsi="Calibri" w:cs="Calibri"/>
          <w:sz w:val="24"/>
          <w:szCs w:val="24"/>
        </w:rPr>
      </w:pPr>
    </w:p>
    <w:p w14:paraId="18C7A394" w14:textId="77777777" w:rsidR="000D0B79" w:rsidRPr="00445D22" w:rsidRDefault="000D0B79"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rPr>
        <w:t>El MINFIN en coordinación con el Registro General de la Propiedad y la Municipal de Guatemala, implementaron el Aviso Notarial Electrónico.</w:t>
      </w:r>
    </w:p>
    <w:p w14:paraId="3DDB18EB" w14:textId="77777777" w:rsidR="004443D1" w:rsidRPr="00445D22" w:rsidRDefault="004443D1" w:rsidP="004443D1">
      <w:pPr>
        <w:pStyle w:val="ListParagraph"/>
        <w:ind w:left="360"/>
        <w:jc w:val="both"/>
        <w:rPr>
          <w:rFonts w:ascii="Calibri" w:hAnsi="Calibri" w:cs="Calibri"/>
          <w:sz w:val="24"/>
          <w:szCs w:val="24"/>
        </w:rPr>
      </w:pPr>
    </w:p>
    <w:p w14:paraId="1957B309" w14:textId="77777777" w:rsidR="00DA2A55" w:rsidRPr="00445D22" w:rsidRDefault="00141C0B"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de acuerdo a la normativa vigente en materia de  Rendición de Cuentas Municipales, continúa con el desarrollo d</w:t>
      </w:r>
      <w:r w:rsidR="004777AA" w:rsidRPr="00445D22">
        <w:rPr>
          <w:rFonts w:ascii="Calibri" w:hAnsi="Calibri" w:cs="Calibri"/>
          <w:sz w:val="24"/>
          <w:szCs w:val="24"/>
        </w:rPr>
        <w:t>el portal SIAFMUNI</w:t>
      </w:r>
      <w:r w:rsidR="00625BB1" w:rsidRPr="00445D22">
        <w:rPr>
          <w:rFonts w:ascii="Calibri" w:hAnsi="Calibri" w:cs="Calibri"/>
          <w:sz w:val="24"/>
          <w:szCs w:val="24"/>
        </w:rPr>
        <w:t>,</w:t>
      </w:r>
      <w:r w:rsidRPr="00445D22">
        <w:rPr>
          <w:rFonts w:ascii="Calibri" w:hAnsi="Calibri" w:cs="Calibri"/>
          <w:sz w:val="24"/>
          <w:szCs w:val="24"/>
        </w:rPr>
        <w:t xml:space="preserve"> </w:t>
      </w:r>
      <w:r w:rsidR="00DA2A55" w:rsidRPr="00445D22">
        <w:rPr>
          <w:rFonts w:ascii="Calibri" w:hAnsi="Calibri" w:cs="Calibri"/>
          <w:sz w:val="24"/>
          <w:szCs w:val="24"/>
        </w:rPr>
        <w:t xml:space="preserve">que </w:t>
      </w:r>
      <w:r w:rsidR="004777AA" w:rsidRPr="00445D22">
        <w:rPr>
          <w:rFonts w:ascii="Calibri" w:hAnsi="Calibri" w:cs="Calibri"/>
          <w:sz w:val="24"/>
          <w:szCs w:val="24"/>
        </w:rPr>
        <w:t xml:space="preserve">cuenta con más </w:t>
      </w:r>
      <w:r w:rsidR="00874516" w:rsidRPr="00445D22">
        <w:rPr>
          <w:rFonts w:ascii="Calibri" w:hAnsi="Calibri" w:cs="Calibri"/>
          <w:sz w:val="24"/>
          <w:szCs w:val="24"/>
        </w:rPr>
        <w:t xml:space="preserve">de </w:t>
      </w:r>
      <w:r w:rsidR="00625BB1" w:rsidRPr="00445D22">
        <w:rPr>
          <w:rFonts w:ascii="Calibri" w:hAnsi="Calibri" w:cs="Calibri"/>
          <w:sz w:val="24"/>
          <w:szCs w:val="24"/>
        </w:rPr>
        <w:t>dieciocho años de antigüedad,</w:t>
      </w:r>
      <w:r w:rsidRPr="00445D22">
        <w:rPr>
          <w:rFonts w:ascii="Calibri" w:hAnsi="Calibri" w:cs="Calibri"/>
          <w:sz w:val="24"/>
          <w:szCs w:val="24"/>
        </w:rPr>
        <w:t xml:space="preserve"> al finalizar el </w:t>
      </w:r>
      <w:r w:rsidR="00DA2A55" w:rsidRPr="00445D22">
        <w:rPr>
          <w:rFonts w:ascii="Calibri" w:hAnsi="Calibri" w:cs="Calibri"/>
          <w:sz w:val="24"/>
          <w:szCs w:val="24"/>
        </w:rPr>
        <w:t xml:space="preserve">tercer </w:t>
      </w:r>
      <w:r w:rsidRPr="00445D22">
        <w:rPr>
          <w:rFonts w:ascii="Calibri" w:hAnsi="Calibri" w:cs="Calibri"/>
          <w:sz w:val="24"/>
          <w:szCs w:val="24"/>
        </w:rPr>
        <w:t>cuatrimestre</w:t>
      </w:r>
      <w:r w:rsidR="004777AA" w:rsidRPr="00445D22">
        <w:rPr>
          <w:rFonts w:ascii="Calibri" w:hAnsi="Calibri" w:cs="Calibri"/>
          <w:sz w:val="24"/>
          <w:szCs w:val="24"/>
        </w:rPr>
        <w:t xml:space="preserve"> </w:t>
      </w:r>
      <w:r w:rsidR="00DA2A55" w:rsidRPr="00445D22">
        <w:rPr>
          <w:rFonts w:ascii="Calibri" w:hAnsi="Calibri" w:cs="Calibri"/>
          <w:sz w:val="24"/>
          <w:szCs w:val="24"/>
        </w:rPr>
        <w:t>se encuentra actualizado con tecnología de punta</w:t>
      </w:r>
      <w:r w:rsidR="00625BB1" w:rsidRPr="00445D22">
        <w:rPr>
          <w:rFonts w:ascii="Calibri" w:hAnsi="Calibri" w:cs="Calibri"/>
          <w:sz w:val="24"/>
          <w:szCs w:val="24"/>
        </w:rPr>
        <w:t>,</w:t>
      </w:r>
      <w:r w:rsidR="00DA2A55" w:rsidRPr="00445D22">
        <w:rPr>
          <w:rFonts w:ascii="Calibri" w:hAnsi="Calibri" w:cs="Calibri"/>
          <w:sz w:val="24"/>
          <w:szCs w:val="24"/>
        </w:rPr>
        <w:t xml:space="preserve"> e incluido en el portal de Gobiernos Locales. </w:t>
      </w:r>
    </w:p>
    <w:p w14:paraId="547C1492" w14:textId="77777777" w:rsidR="00DA2A55" w:rsidRPr="00445D22" w:rsidRDefault="00DA2A55" w:rsidP="00DA2A55">
      <w:pPr>
        <w:pStyle w:val="ListParagraph"/>
        <w:rPr>
          <w:rFonts w:ascii="Calibri" w:hAnsi="Calibri" w:cs="Calibri"/>
          <w:b/>
          <w:color w:val="000000" w:themeColor="text1"/>
        </w:rPr>
      </w:pPr>
    </w:p>
    <w:p w14:paraId="372DF6A3" w14:textId="77777777" w:rsidR="00DA2A55" w:rsidRPr="00445D22" w:rsidRDefault="00364A9B"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Suscrita carta de entendimiento entre la Secretaría de Planificación y Programación de la Presidencia SEGEPLAN y el Ministerio de Finanzas Públicas, que permitirá el </w:t>
      </w:r>
      <w:r w:rsidR="00DA2A55" w:rsidRPr="00445D22">
        <w:rPr>
          <w:rFonts w:ascii="Calibri" w:hAnsi="Calibri" w:cs="Calibri"/>
          <w:sz w:val="24"/>
          <w:szCs w:val="24"/>
        </w:rPr>
        <w:t>intercambio de datos de sistemas municipales de planificación y presupuesto</w:t>
      </w:r>
      <w:r w:rsidR="00791FE3" w:rsidRPr="00445D22">
        <w:rPr>
          <w:rFonts w:ascii="Calibri" w:hAnsi="Calibri" w:cs="Calibri"/>
          <w:sz w:val="24"/>
          <w:szCs w:val="24"/>
        </w:rPr>
        <w:t xml:space="preserve">, por medio de los </w:t>
      </w:r>
      <w:r w:rsidR="00DA2A55" w:rsidRPr="00445D22">
        <w:rPr>
          <w:rFonts w:ascii="Calibri" w:hAnsi="Calibri" w:cs="Calibri"/>
          <w:sz w:val="24"/>
          <w:szCs w:val="24"/>
        </w:rPr>
        <w:t>SIPLAN GL, Sistema de Información de Inversión Pública SINIP y el Sistema de Contabilidad Integrado de Gobiernos Locales SICOINGL</w:t>
      </w:r>
      <w:r w:rsidRPr="00445D22">
        <w:rPr>
          <w:rFonts w:ascii="Calibri" w:hAnsi="Calibri" w:cs="Calibri"/>
          <w:sz w:val="24"/>
          <w:szCs w:val="24"/>
        </w:rPr>
        <w:t>.</w:t>
      </w:r>
    </w:p>
    <w:p w14:paraId="795B9DA2" w14:textId="77777777" w:rsidR="004443D1" w:rsidRPr="00445D22" w:rsidRDefault="004443D1" w:rsidP="004443D1">
      <w:pPr>
        <w:pStyle w:val="ListParagraph"/>
        <w:ind w:left="360"/>
        <w:jc w:val="both"/>
        <w:rPr>
          <w:rFonts w:ascii="Calibri" w:hAnsi="Calibri" w:cs="Calibri"/>
          <w:sz w:val="24"/>
          <w:szCs w:val="24"/>
        </w:rPr>
      </w:pPr>
    </w:p>
    <w:p w14:paraId="4ABB4890" w14:textId="77777777" w:rsidR="00364A9B" w:rsidRPr="00445D22" w:rsidRDefault="00250047"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w:t>
      </w:r>
      <w:r w:rsidR="00364A9B" w:rsidRPr="00445D22">
        <w:rPr>
          <w:rFonts w:ascii="Calibri" w:hAnsi="Calibri" w:cs="Calibri"/>
          <w:sz w:val="24"/>
          <w:szCs w:val="24"/>
        </w:rPr>
        <w:t xml:space="preserve">finalizó </w:t>
      </w:r>
      <w:r w:rsidRPr="00445D22">
        <w:rPr>
          <w:rFonts w:ascii="Calibri" w:hAnsi="Calibri" w:cs="Calibri"/>
          <w:sz w:val="24"/>
          <w:szCs w:val="24"/>
        </w:rPr>
        <w:t>el proyecto de c</w:t>
      </w:r>
      <w:r w:rsidR="004777AA" w:rsidRPr="00445D22">
        <w:rPr>
          <w:rFonts w:ascii="Calibri" w:hAnsi="Calibri" w:cs="Calibri"/>
          <w:sz w:val="24"/>
          <w:szCs w:val="24"/>
        </w:rPr>
        <w:t xml:space="preserve">obros en Línea a través del Portal GL </w:t>
      </w:r>
      <w:r w:rsidRPr="00445D22">
        <w:rPr>
          <w:rFonts w:ascii="Calibri" w:hAnsi="Calibri" w:cs="Calibri"/>
          <w:sz w:val="24"/>
          <w:szCs w:val="24"/>
        </w:rPr>
        <w:t xml:space="preserve">con Tarjeta de Crédito y Débito, el cual consiste en </w:t>
      </w:r>
      <w:r w:rsidR="004777AA" w:rsidRPr="00445D22">
        <w:rPr>
          <w:rFonts w:ascii="Calibri" w:hAnsi="Calibri" w:cs="Calibri"/>
          <w:sz w:val="24"/>
          <w:szCs w:val="24"/>
        </w:rPr>
        <w:t xml:space="preserve"> fortalecer la recaudación de recursos</w:t>
      </w:r>
      <w:r w:rsidR="00874516" w:rsidRPr="00445D22">
        <w:rPr>
          <w:rFonts w:ascii="Calibri" w:hAnsi="Calibri" w:cs="Calibri"/>
          <w:sz w:val="24"/>
          <w:szCs w:val="24"/>
        </w:rPr>
        <w:t xml:space="preserve"> propios en las municipalidades</w:t>
      </w:r>
      <w:r w:rsidR="00364A9B" w:rsidRPr="00445D22">
        <w:rPr>
          <w:rFonts w:ascii="Calibri" w:hAnsi="Calibri" w:cs="Calibri"/>
          <w:sz w:val="24"/>
          <w:szCs w:val="24"/>
        </w:rPr>
        <w:t>, este proyecto ya está siendo utilizado por algunos gobiernos locales.</w:t>
      </w:r>
    </w:p>
    <w:p w14:paraId="0DDB87C5" w14:textId="77777777" w:rsidR="00364A9B" w:rsidRPr="00445D22" w:rsidRDefault="00364A9B" w:rsidP="00364A9B">
      <w:pPr>
        <w:pStyle w:val="ListParagraph"/>
        <w:rPr>
          <w:rFonts w:ascii="Calibri" w:hAnsi="Calibri" w:cs="Calibri"/>
          <w:sz w:val="24"/>
          <w:szCs w:val="24"/>
        </w:rPr>
      </w:pPr>
    </w:p>
    <w:p w14:paraId="39F440AC" w14:textId="77777777" w:rsidR="00364A9B" w:rsidRPr="00445D22" w:rsidRDefault="00364A9B"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Implementada la Gestión por Resultados en 20 municipalidades del país, en el proceso de formulación presupuestaria</w:t>
      </w:r>
      <w:r w:rsidR="001C3130" w:rsidRPr="00445D22">
        <w:rPr>
          <w:rFonts w:ascii="Calibri" w:hAnsi="Calibri" w:cs="Calibri"/>
          <w:sz w:val="24"/>
          <w:szCs w:val="24"/>
        </w:rPr>
        <w:t>; en igual forma asistencia técnica a través de la resolución de incidencias y casos a las municipalidades, empresas municipales, mancomunidades y entidades de Gobiernos Locales.</w:t>
      </w:r>
    </w:p>
    <w:p w14:paraId="6A61D17C" w14:textId="77777777" w:rsidR="001C3130" w:rsidRPr="00445D22" w:rsidRDefault="001C3130" w:rsidP="001C3130">
      <w:pPr>
        <w:pStyle w:val="ListParagraph"/>
        <w:rPr>
          <w:rFonts w:ascii="Calibri" w:hAnsi="Calibri" w:cs="Calibri"/>
          <w:sz w:val="24"/>
          <w:szCs w:val="24"/>
        </w:rPr>
      </w:pPr>
    </w:p>
    <w:p w14:paraId="45AE7B6E" w14:textId="77777777" w:rsidR="00796F95" w:rsidRPr="00445D22" w:rsidRDefault="001C3130"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lastRenderedPageBreak/>
        <w:t xml:space="preserve">Realizados eventos de capacitación de acuerdo a necesidades identificadas por los gobiernos locales, permitió capacitar a 1,325 empleados en las 340 municipalidades del país, especialmente en los temas de Sistemas SICOIN GL y SERVICIOS GL. </w:t>
      </w:r>
    </w:p>
    <w:p w14:paraId="51C20EB1" w14:textId="77777777" w:rsidR="00796F95" w:rsidRPr="00445D22" w:rsidRDefault="00796F95" w:rsidP="00796F95">
      <w:pPr>
        <w:pStyle w:val="ListParagraph"/>
        <w:rPr>
          <w:rFonts w:ascii="Calibri" w:hAnsi="Calibri" w:cs="Calibri"/>
          <w:sz w:val="24"/>
          <w:szCs w:val="24"/>
        </w:rPr>
      </w:pPr>
    </w:p>
    <w:p w14:paraId="1CBA6D13" w14:textId="77777777" w:rsidR="00796F95" w:rsidRPr="00445D22" w:rsidRDefault="00796F95"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625BB1" w:rsidRPr="00445D22">
        <w:rPr>
          <w:rFonts w:ascii="Calibri" w:hAnsi="Calibri" w:cs="Calibri"/>
          <w:sz w:val="24"/>
          <w:szCs w:val="24"/>
        </w:rPr>
        <w:t>MINFIN</w:t>
      </w:r>
      <w:r w:rsidRPr="00445D22">
        <w:rPr>
          <w:rFonts w:ascii="Calibri" w:hAnsi="Calibri" w:cs="Calibri"/>
          <w:sz w:val="24"/>
          <w:szCs w:val="24"/>
        </w:rPr>
        <w:t xml:space="preserve"> elaboró la iniciativa de ley número 5459: “Ley para la Liquidación de Fideicomisos Constituidos con Recursos Públicos” y  presentada a la Comisión de Transparencia y Probidad del Congreso de la República.</w:t>
      </w:r>
    </w:p>
    <w:p w14:paraId="36F74466" w14:textId="77777777" w:rsidR="00364A9B" w:rsidRPr="00445D22" w:rsidRDefault="00364A9B" w:rsidP="00364A9B">
      <w:pPr>
        <w:pStyle w:val="ListParagraph"/>
        <w:ind w:left="360"/>
        <w:jc w:val="both"/>
        <w:rPr>
          <w:rFonts w:ascii="Calibri" w:hAnsi="Calibri" w:cs="Calibri"/>
          <w:sz w:val="24"/>
          <w:szCs w:val="24"/>
        </w:rPr>
      </w:pPr>
    </w:p>
    <w:p w14:paraId="4707D65E" w14:textId="77777777" w:rsidR="00B54344" w:rsidRPr="00445D22" w:rsidRDefault="00E8328A" w:rsidP="00B5434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Desarrollado el </w:t>
      </w:r>
      <w:r w:rsidR="00644A60" w:rsidRPr="00445D22">
        <w:rPr>
          <w:rFonts w:ascii="Calibri" w:hAnsi="Calibri" w:cs="Calibri"/>
          <w:sz w:val="24"/>
          <w:szCs w:val="24"/>
        </w:rPr>
        <w:t xml:space="preserve">módulo de cobros de energía eléctrica municipal, que está contribuyendo a que </w:t>
      </w:r>
      <w:r w:rsidR="00141C0B" w:rsidRPr="00445D22">
        <w:rPr>
          <w:rFonts w:ascii="Calibri" w:hAnsi="Calibri" w:cs="Calibri"/>
          <w:sz w:val="24"/>
          <w:szCs w:val="24"/>
        </w:rPr>
        <w:t xml:space="preserve">las Empresas de Energía Eléctrica Municipales del país, </w:t>
      </w:r>
      <w:r w:rsidR="00644A60" w:rsidRPr="00445D22">
        <w:rPr>
          <w:rFonts w:ascii="Calibri" w:hAnsi="Calibri" w:cs="Calibri"/>
          <w:sz w:val="24"/>
          <w:szCs w:val="24"/>
        </w:rPr>
        <w:t xml:space="preserve">cuenten </w:t>
      </w:r>
      <w:r w:rsidR="00141C0B" w:rsidRPr="00445D22">
        <w:rPr>
          <w:rFonts w:ascii="Calibri" w:hAnsi="Calibri" w:cs="Calibri"/>
          <w:sz w:val="24"/>
          <w:szCs w:val="24"/>
        </w:rPr>
        <w:t xml:space="preserve">con un módulo de cobro de energía eléctrica, </w:t>
      </w:r>
      <w:r w:rsidR="00625BB1" w:rsidRPr="00445D22">
        <w:rPr>
          <w:rFonts w:ascii="Calibri" w:hAnsi="Calibri" w:cs="Calibri"/>
          <w:sz w:val="24"/>
          <w:szCs w:val="24"/>
        </w:rPr>
        <w:t>que permitirá</w:t>
      </w:r>
      <w:r w:rsidR="00644A60" w:rsidRPr="00445D22">
        <w:rPr>
          <w:rFonts w:ascii="Calibri" w:hAnsi="Calibri" w:cs="Calibri"/>
          <w:sz w:val="24"/>
          <w:szCs w:val="24"/>
        </w:rPr>
        <w:t xml:space="preserve"> </w:t>
      </w:r>
      <w:r w:rsidR="00141C0B" w:rsidRPr="00445D22">
        <w:rPr>
          <w:rFonts w:ascii="Calibri" w:hAnsi="Calibri" w:cs="Calibri"/>
          <w:sz w:val="24"/>
          <w:szCs w:val="24"/>
        </w:rPr>
        <w:t xml:space="preserve">fortalecer el proceso de recaudación de dicho servicio, este módulo incorpora </w:t>
      </w:r>
      <w:r w:rsidR="00695ADD" w:rsidRPr="00445D22">
        <w:rPr>
          <w:rFonts w:ascii="Calibri" w:hAnsi="Calibri" w:cs="Calibri"/>
          <w:sz w:val="24"/>
          <w:szCs w:val="24"/>
        </w:rPr>
        <w:t xml:space="preserve">la </w:t>
      </w:r>
      <w:r w:rsidR="00141C0B" w:rsidRPr="00445D22">
        <w:rPr>
          <w:rFonts w:ascii="Calibri" w:hAnsi="Calibri" w:cs="Calibri"/>
          <w:sz w:val="24"/>
          <w:szCs w:val="24"/>
        </w:rPr>
        <w:t xml:space="preserve">misión de </w:t>
      </w:r>
      <w:r w:rsidR="00695ADD" w:rsidRPr="00445D22">
        <w:rPr>
          <w:rFonts w:ascii="Calibri" w:hAnsi="Calibri" w:cs="Calibri"/>
          <w:sz w:val="24"/>
          <w:szCs w:val="24"/>
        </w:rPr>
        <w:t xml:space="preserve">la </w:t>
      </w:r>
      <w:r w:rsidR="00141C0B" w:rsidRPr="00445D22">
        <w:rPr>
          <w:rFonts w:ascii="Calibri" w:hAnsi="Calibri" w:cs="Calibri"/>
          <w:sz w:val="24"/>
          <w:szCs w:val="24"/>
        </w:rPr>
        <w:t>Factura Electrónica en Línea -FEL-</w:t>
      </w:r>
      <w:r w:rsidRPr="00445D22">
        <w:rPr>
          <w:rFonts w:ascii="Calibri" w:hAnsi="Calibri" w:cs="Calibri"/>
          <w:sz w:val="24"/>
          <w:szCs w:val="24"/>
        </w:rPr>
        <w:t>.</w:t>
      </w:r>
    </w:p>
    <w:p w14:paraId="12B7C1C6" w14:textId="77777777" w:rsidR="00E8328A" w:rsidRPr="00445D22" w:rsidRDefault="00E8328A" w:rsidP="00E8328A">
      <w:pPr>
        <w:pStyle w:val="ListParagraph"/>
        <w:rPr>
          <w:rFonts w:ascii="Calibri" w:hAnsi="Calibri" w:cs="Calibri"/>
          <w:sz w:val="24"/>
          <w:szCs w:val="24"/>
        </w:rPr>
      </w:pPr>
    </w:p>
    <w:p w14:paraId="2E917271" w14:textId="77777777" w:rsidR="00494C56" w:rsidRPr="00445D22" w:rsidRDefault="00BE0F2D"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continuó con la capacitación de personas en materia de contrataciones públicas,</w:t>
      </w:r>
      <w:r w:rsidR="00494C56" w:rsidRPr="00445D22">
        <w:rPr>
          <w:rFonts w:ascii="Calibri" w:hAnsi="Calibri" w:cs="Calibri"/>
          <w:sz w:val="24"/>
          <w:szCs w:val="24"/>
        </w:rPr>
        <w:t xml:space="preserve"> en relación a la Ley de Contrataciones del Estado y las Reformas al Reglamento, </w:t>
      </w:r>
      <w:r w:rsidR="0056369F" w:rsidRPr="00445D22">
        <w:rPr>
          <w:rFonts w:ascii="Calibri" w:hAnsi="Calibri" w:cs="Calibri"/>
          <w:sz w:val="24"/>
          <w:szCs w:val="24"/>
        </w:rPr>
        <w:t xml:space="preserve">al finalizar el cuatrimestre </w:t>
      </w:r>
      <w:r w:rsidR="00494C56" w:rsidRPr="00445D22">
        <w:rPr>
          <w:rFonts w:ascii="Calibri" w:hAnsi="Calibri" w:cs="Calibri"/>
          <w:sz w:val="24"/>
          <w:szCs w:val="24"/>
        </w:rPr>
        <w:t>fueron capacitadas</w:t>
      </w:r>
      <w:r w:rsidRPr="00445D22">
        <w:rPr>
          <w:rFonts w:ascii="Calibri" w:hAnsi="Calibri" w:cs="Calibri"/>
          <w:sz w:val="24"/>
          <w:szCs w:val="24"/>
        </w:rPr>
        <w:t xml:space="preserve"> </w:t>
      </w:r>
      <w:r w:rsidR="00DA2A55" w:rsidRPr="00445D22">
        <w:rPr>
          <w:rFonts w:ascii="Calibri" w:hAnsi="Calibri" w:cs="Calibri"/>
          <w:sz w:val="24"/>
          <w:szCs w:val="24"/>
        </w:rPr>
        <w:t>2,566</w:t>
      </w:r>
      <w:r w:rsidRPr="00445D22">
        <w:rPr>
          <w:rFonts w:ascii="Calibri" w:hAnsi="Calibri" w:cs="Calibri"/>
          <w:sz w:val="24"/>
          <w:szCs w:val="24"/>
        </w:rPr>
        <w:t xml:space="preserve"> personas</w:t>
      </w:r>
      <w:r w:rsidR="00494C56" w:rsidRPr="00445D22">
        <w:rPr>
          <w:rFonts w:ascii="Calibri" w:hAnsi="Calibri" w:cs="Calibri"/>
          <w:sz w:val="24"/>
          <w:szCs w:val="24"/>
        </w:rPr>
        <w:t xml:space="preserve"> de  diferentes entidades del Estado y Proveedores</w:t>
      </w:r>
      <w:r w:rsidR="00695ADD" w:rsidRPr="00445D22">
        <w:rPr>
          <w:rFonts w:ascii="Calibri" w:hAnsi="Calibri" w:cs="Calibri"/>
          <w:sz w:val="24"/>
          <w:szCs w:val="24"/>
        </w:rPr>
        <w:t>,</w:t>
      </w:r>
      <w:r w:rsidR="00494C56" w:rsidRPr="00445D22">
        <w:rPr>
          <w:rFonts w:ascii="Calibri" w:hAnsi="Calibri" w:cs="Calibri"/>
          <w:sz w:val="24"/>
          <w:szCs w:val="24"/>
        </w:rPr>
        <w:t xml:space="preserve"> en el uso del </w:t>
      </w:r>
      <w:r w:rsidRPr="00445D22">
        <w:rPr>
          <w:rFonts w:ascii="Calibri" w:hAnsi="Calibri" w:cs="Calibri"/>
          <w:sz w:val="24"/>
          <w:szCs w:val="24"/>
        </w:rPr>
        <w:t>Sistema de Información de Contrataciones y Adquisici</w:t>
      </w:r>
      <w:r w:rsidR="00494C56" w:rsidRPr="00445D22">
        <w:rPr>
          <w:rFonts w:ascii="Calibri" w:hAnsi="Calibri" w:cs="Calibri"/>
          <w:sz w:val="24"/>
          <w:szCs w:val="24"/>
        </w:rPr>
        <w:t>ones del Estado -G</w:t>
      </w:r>
      <w:r w:rsidR="001C0B05" w:rsidRPr="00445D22">
        <w:rPr>
          <w:rFonts w:ascii="Calibri" w:hAnsi="Calibri" w:cs="Calibri"/>
          <w:sz w:val="24"/>
          <w:szCs w:val="24"/>
        </w:rPr>
        <w:t>uatecompras</w:t>
      </w:r>
      <w:r w:rsidR="00494C56" w:rsidRPr="00445D22">
        <w:rPr>
          <w:rFonts w:ascii="Calibri" w:hAnsi="Calibri" w:cs="Calibri"/>
          <w:sz w:val="24"/>
          <w:szCs w:val="24"/>
        </w:rPr>
        <w:t>-.</w:t>
      </w:r>
      <w:r w:rsidRPr="00445D22">
        <w:rPr>
          <w:rFonts w:ascii="Calibri" w:hAnsi="Calibri" w:cs="Calibri"/>
          <w:sz w:val="24"/>
          <w:szCs w:val="24"/>
        </w:rPr>
        <w:t xml:space="preserve"> </w:t>
      </w:r>
    </w:p>
    <w:p w14:paraId="1CE024A8" w14:textId="77777777" w:rsidR="00DA2A55" w:rsidRPr="00445D22" w:rsidRDefault="00DA2A55" w:rsidP="00DA2A55">
      <w:pPr>
        <w:pStyle w:val="ListParagraph"/>
        <w:rPr>
          <w:rFonts w:ascii="Calibri" w:hAnsi="Calibri" w:cs="Calibri"/>
          <w:sz w:val="24"/>
          <w:szCs w:val="24"/>
        </w:rPr>
      </w:pPr>
    </w:p>
    <w:p w14:paraId="5DEAFF12" w14:textId="77777777" w:rsidR="00E84DB7" w:rsidRPr="00445D22" w:rsidRDefault="00DF2BF2"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El MINFIN  a través del Registro General de Adquisiciones del Estado y c</w:t>
      </w:r>
      <w:r w:rsidR="00E84DB7" w:rsidRPr="00445D22">
        <w:rPr>
          <w:rFonts w:ascii="Calibri" w:hAnsi="Calibri" w:cs="Calibri"/>
          <w:sz w:val="24"/>
          <w:szCs w:val="24"/>
        </w:rPr>
        <w:t xml:space="preserve">on la finalidad de contribuir a la reactivación económica del país, en el tercer cuatrimestre </w:t>
      </w:r>
      <w:r w:rsidR="00FE35CF" w:rsidRPr="00445D22">
        <w:rPr>
          <w:rFonts w:ascii="Calibri" w:hAnsi="Calibri" w:cs="Calibri"/>
          <w:sz w:val="24"/>
          <w:szCs w:val="24"/>
        </w:rPr>
        <w:t>7,420 personas individuales o jurídicas nacionales o extranjeros</w:t>
      </w:r>
      <w:r w:rsidR="00695ADD" w:rsidRPr="00445D22">
        <w:rPr>
          <w:rFonts w:ascii="Calibri" w:hAnsi="Calibri" w:cs="Calibri"/>
          <w:sz w:val="24"/>
          <w:szCs w:val="24"/>
        </w:rPr>
        <w:t>,</w:t>
      </w:r>
      <w:r w:rsidR="00FE35CF" w:rsidRPr="00445D22">
        <w:rPr>
          <w:rFonts w:ascii="Calibri" w:hAnsi="Calibri" w:cs="Calibri"/>
          <w:sz w:val="24"/>
          <w:szCs w:val="24"/>
        </w:rPr>
        <w:t xml:space="preserve"> fueron inscritas y precalificadas en diferentes modalidades, como proveedores del Estado (6,3</w:t>
      </w:r>
      <w:r w:rsidR="00695ADD" w:rsidRPr="00445D22">
        <w:rPr>
          <w:rFonts w:ascii="Calibri" w:hAnsi="Calibri" w:cs="Calibri"/>
          <w:sz w:val="24"/>
          <w:szCs w:val="24"/>
        </w:rPr>
        <w:t>9</w:t>
      </w:r>
      <w:r w:rsidR="00FE35CF" w:rsidRPr="00445D22">
        <w:rPr>
          <w:rFonts w:ascii="Calibri" w:hAnsi="Calibri" w:cs="Calibri"/>
          <w:sz w:val="24"/>
          <w:szCs w:val="24"/>
        </w:rPr>
        <w:t xml:space="preserve">0 inscritos y 1,030 precalificados); en igual forma 2,335 personas fueron objeto de actualizaciones y/o modificaciones que </w:t>
      </w:r>
      <w:r w:rsidR="007B1784" w:rsidRPr="00445D22">
        <w:rPr>
          <w:rFonts w:ascii="Calibri" w:hAnsi="Calibri" w:cs="Calibri"/>
          <w:sz w:val="24"/>
          <w:szCs w:val="24"/>
        </w:rPr>
        <w:t xml:space="preserve">ya </w:t>
      </w:r>
      <w:r w:rsidR="00FE35CF" w:rsidRPr="00445D22">
        <w:rPr>
          <w:rFonts w:ascii="Calibri" w:hAnsi="Calibri" w:cs="Calibri"/>
          <w:sz w:val="24"/>
          <w:szCs w:val="24"/>
        </w:rPr>
        <w:t>se encuentran inscritos y precalificados como proveedores.</w:t>
      </w:r>
    </w:p>
    <w:p w14:paraId="1B483EAB" w14:textId="77777777" w:rsidR="007B1784" w:rsidRPr="00445D22" w:rsidRDefault="007B1784" w:rsidP="007B1784">
      <w:pPr>
        <w:pStyle w:val="ListParagraph"/>
        <w:rPr>
          <w:rFonts w:ascii="Calibri" w:hAnsi="Calibri" w:cs="Calibri"/>
          <w:sz w:val="24"/>
          <w:szCs w:val="24"/>
        </w:rPr>
      </w:pPr>
    </w:p>
    <w:p w14:paraId="3D98D387" w14:textId="77777777" w:rsidR="0006492A" w:rsidRPr="00445D22" w:rsidRDefault="00DE7957"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Finalizado el </w:t>
      </w:r>
      <w:r w:rsidR="0006492A" w:rsidRPr="00445D22">
        <w:rPr>
          <w:rFonts w:ascii="Calibri" w:hAnsi="Calibri" w:cs="Calibri"/>
          <w:sz w:val="24"/>
          <w:szCs w:val="24"/>
        </w:rPr>
        <w:t xml:space="preserve">proyecto Sistema de Registro de Bienes Inmuebles del Estado </w:t>
      </w:r>
      <w:r w:rsidR="0094404D" w:rsidRPr="00445D22">
        <w:rPr>
          <w:rFonts w:ascii="Calibri" w:hAnsi="Calibri" w:cs="Calibri"/>
          <w:sz w:val="24"/>
          <w:szCs w:val="24"/>
        </w:rPr>
        <w:t>-</w:t>
      </w:r>
      <w:r w:rsidR="0006492A" w:rsidRPr="00445D22">
        <w:rPr>
          <w:rFonts w:ascii="Calibri" w:hAnsi="Calibri" w:cs="Calibri"/>
          <w:sz w:val="24"/>
          <w:szCs w:val="24"/>
        </w:rPr>
        <w:t>SIRBIE-, específicamente en la conceptualización para migrar</w:t>
      </w:r>
      <w:r w:rsidR="0094404D" w:rsidRPr="00445D22">
        <w:rPr>
          <w:rFonts w:ascii="Calibri" w:hAnsi="Calibri" w:cs="Calibri"/>
          <w:sz w:val="24"/>
          <w:szCs w:val="24"/>
        </w:rPr>
        <w:t xml:space="preserve"> a</w:t>
      </w:r>
      <w:r w:rsidR="0006492A" w:rsidRPr="00445D22">
        <w:rPr>
          <w:rFonts w:ascii="Calibri" w:hAnsi="Calibri" w:cs="Calibri"/>
          <w:sz w:val="24"/>
          <w:szCs w:val="24"/>
        </w:rPr>
        <w:t xml:space="preserve"> la base de datos del Si</w:t>
      </w:r>
      <w:r w:rsidR="0094404D" w:rsidRPr="00445D22">
        <w:rPr>
          <w:rFonts w:ascii="Calibri" w:hAnsi="Calibri" w:cs="Calibri"/>
          <w:sz w:val="24"/>
          <w:szCs w:val="24"/>
        </w:rPr>
        <w:t>stema Integrado Administrativo -</w:t>
      </w:r>
      <w:r w:rsidR="0006492A" w:rsidRPr="00445D22">
        <w:rPr>
          <w:rFonts w:ascii="Calibri" w:hAnsi="Calibri" w:cs="Calibri"/>
          <w:sz w:val="24"/>
          <w:szCs w:val="24"/>
        </w:rPr>
        <w:t>SIAD-, a una plataforma de base web.</w:t>
      </w:r>
    </w:p>
    <w:p w14:paraId="2AF7BEBB" w14:textId="77777777" w:rsidR="007A7E71" w:rsidRPr="00445D22" w:rsidRDefault="007A7E71" w:rsidP="007A7E71">
      <w:pPr>
        <w:pStyle w:val="ListParagraph"/>
        <w:rPr>
          <w:rFonts w:ascii="Calibri" w:hAnsi="Calibri" w:cs="Calibri"/>
          <w:sz w:val="24"/>
          <w:szCs w:val="24"/>
        </w:rPr>
      </w:pPr>
    </w:p>
    <w:p w14:paraId="7D5CD9DB" w14:textId="77777777" w:rsidR="007A7E71" w:rsidRPr="00445D22" w:rsidRDefault="007A7E71"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 xml:space="preserve">Capacitados 4,331 usuarios al 30 de noviembre de 2021 sobre los Sistemas SIAF de forma virtual y que pertenecen a 83 entidades gubernamentales. </w:t>
      </w:r>
    </w:p>
    <w:p w14:paraId="6E1EA329" w14:textId="77777777" w:rsidR="00DF4A3F" w:rsidRPr="00445D22" w:rsidRDefault="00DF4A3F" w:rsidP="00DF4A3F">
      <w:pPr>
        <w:pStyle w:val="ListParagraph"/>
        <w:rPr>
          <w:rFonts w:ascii="Calibri" w:hAnsi="Calibri" w:cs="Calibri"/>
          <w:sz w:val="24"/>
          <w:szCs w:val="24"/>
        </w:rPr>
      </w:pPr>
    </w:p>
    <w:p w14:paraId="28665ECC" w14:textId="77777777" w:rsidR="007A7E71" w:rsidRPr="00445D22" w:rsidRDefault="007A7E71"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lastRenderedPageBreak/>
        <w:t>Implementados los términos de usabilidad y responsabilidad del Sistema de Guatenóminas, que permitirá que los usuarios que utilizan el sistema</w:t>
      </w:r>
      <w:r w:rsidR="00695ADD" w:rsidRPr="00445D22">
        <w:rPr>
          <w:rFonts w:ascii="Calibri" w:hAnsi="Calibri" w:cs="Calibri"/>
          <w:sz w:val="24"/>
          <w:szCs w:val="24"/>
        </w:rPr>
        <w:t>,</w:t>
      </w:r>
      <w:r w:rsidRPr="00445D22">
        <w:rPr>
          <w:rFonts w:ascii="Calibri" w:hAnsi="Calibri" w:cs="Calibri"/>
          <w:sz w:val="24"/>
          <w:szCs w:val="24"/>
        </w:rPr>
        <w:t xml:space="preserve"> acepten los términos y condiciones sobre el uso del </w:t>
      </w:r>
      <w:r w:rsidR="00695ADD" w:rsidRPr="00445D22">
        <w:rPr>
          <w:rFonts w:ascii="Calibri" w:hAnsi="Calibri" w:cs="Calibri"/>
          <w:sz w:val="24"/>
          <w:szCs w:val="24"/>
        </w:rPr>
        <w:t>mismo</w:t>
      </w:r>
      <w:r w:rsidRPr="00445D22">
        <w:rPr>
          <w:rFonts w:ascii="Calibri" w:hAnsi="Calibri" w:cs="Calibri"/>
          <w:sz w:val="24"/>
          <w:szCs w:val="24"/>
        </w:rPr>
        <w:t>.</w:t>
      </w:r>
    </w:p>
    <w:p w14:paraId="7A4F782B" w14:textId="77777777" w:rsidR="007C238E" w:rsidRPr="00445D22" w:rsidRDefault="007C238E" w:rsidP="007C238E">
      <w:pPr>
        <w:pStyle w:val="ListParagraph"/>
        <w:rPr>
          <w:rFonts w:ascii="Calibri" w:hAnsi="Calibri" w:cs="Calibri"/>
          <w:sz w:val="24"/>
          <w:szCs w:val="24"/>
        </w:rPr>
      </w:pPr>
    </w:p>
    <w:p w14:paraId="55C21570" w14:textId="77777777" w:rsidR="007C238E" w:rsidRPr="00445D22" w:rsidRDefault="007C238E" w:rsidP="00396164">
      <w:pPr>
        <w:pStyle w:val="ListParagraph"/>
        <w:numPr>
          <w:ilvl w:val="0"/>
          <w:numId w:val="4"/>
        </w:numPr>
        <w:ind w:left="360"/>
        <w:jc w:val="both"/>
        <w:rPr>
          <w:rFonts w:ascii="Calibri" w:hAnsi="Calibri" w:cs="Calibri"/>
          <w:sz w:val="24"/>
          <w:szCs w:val="24"/>
        </w:rPr>
      </w:pPr>
      <w:r w:rsidRPr="00445D22">
        <w:rPr>
          <w:rFonts w:ascii="Calibri" w:hAnsi="Calibri" w:cs="Calibri"/>
          <w:sz w:val="24"/>
          <w:szCs w:val="24"/>
        </w:rPr>
        <w:t>Durante el tercer cuatrimestre, se continuó con la formulación (Co-creación) del Quinto Plan de Acción Nacional de Gobierno Abierto 2021-2023, el cual debe estar concluido, avalado y publicado a más tardar el 31 de diciembre de 2021 y cuyo proceso de implementación se tiene previsto</w:t>
      </w:r>
      <w:r w:rsidR="00695ADD" w:rsidRPr="00445D22">
        <w:rPr>
          <w:rFonts w:ascii="Calibri" w:hAnsi="Calibri" w:cs="Calibri"/>
          <w:sz w:val="24"/>
          <w:szCs w:val="24"/>
        </w:rPr>
        <w:t>,</w:t>
      </w:r>
      <w:r w:rsidRPr="00445D22">
        <w:rPr>
          <w:rFonts w:ascii="Calibri" w:hAnsi="Calibri" w:cs="Calibri"/>
          <w:sz w:val="24"/>
          <w:szCs w:val="24"/>
        </w:rPr>
        <w:t xml:space="preserve"> de</w:t>
      </w:r>
      <w:r w:rsidR="00695ADD" w:rsidRPr="00445D22">
        <w:rPr>
          <w:rFonts w:ascii="Calibri" w:hAnsi="Calibri" w:cs="Calibri"/>
          <w:sz w:val="24"/>
          <w:szCs w:val="24"/>
        </w:rPr>
        <w:t>l</w:t>
      </w:r>
      <w:r w:rsidRPr="00445D22">
        <w:rPr>
          <w:rFonts w:ascii="Calibri" w:hAnsi="Calibri" w:cs="Calibri"/>
          <w:sz w:val="24"/>
          <w:szCs w:val="24"/>
        </w:rPr>
        <w:t xml:space="preserve"> 2022 hasta agosto de 2023.</w:t>
      </w:r>
    </w:p>
    <w:p w14:paraId="11BD416F" w14:textId="77777777" w:rsidR="00A85EC2" w:rsidRPr="00445D22" w:rsidRDefault="00A85EC2" w:rsidP="0078226F">
      <w:pPr>
        <w:spacing w:after="0"/>
        <w:jc w:val="both"/>
        <w:rPr>
          <w:rFonts w:ascii="Calibri" w:hAnsi="Calibri" w:cs="Calibri"/>
          <w:sz w:val="24"/>
          <w:szCs w:val="24"/>
        </w:rPr>
      </w:pPr>
    </w:p>
    <w:p w14:paraId="2483E757" w14:textId="77777777" w:rsidR="00CE103A" w:rsidRPr="00445D22" w:rsidRDefault="00CE103A" w:rsidP="00695ADD">
      <w:pPr>
        <w:pStyle w:val="Default"/>
        <w:numPr>
          <w:ilvl w:val="1"/>
          <w:numId w:val="13"/>
        </w:numPr>
        <w:shd w:val="clear" w:color="auto" w:fill="DBE5F1" w:themeFill="accent1" w:themeFillTint="33"/>
        <w:jc w:val="both"/>
        <w:rPr>
          <w:b/>
        </w:rPr>
      </w:pPr>
      <w:r w:rsidRPr="00445D22">
        <w:rPr>
          <w:rFonts w:eastAsia="Times New Roman"/>
          <w:b/>
          <w:lang w:eastAsia="es-GT"/>
        </w:rPr>
        <w:t xml:space="preserve">Gestión de la deuda pública: </w:t>
      </w:r>
      <w:r w:rsidRPr="00445D22">
        <w:rPr>
          <w:b/>
        </w:rPr>
        <w:t xml:space="preserve"> </w:t>
      </w:r>
    </w:p>
    <w:p w14:paraId="734EA7EE" w14:textId="77777777" w:rsidR="0078226F" w:rsidRPr="00445D22" w:rsidRDefault="0078226F" w:rsidP="0078226F">
      <w:pPr>
        <w:pStyle w:val="ListParagraph"/>
        <w:spacing w:after="0" w:line="240" w:lineRule="auto"/>
        <w:ind w:left="360"/>
        <w:jc w:val="both"/>
        <w:rPr>
          <w:rFonts w:ascii="Calibri" w:hAnsi="Calibri" w:cs="Calibri"/>
          <w:sz w:val="24"/>
          <w:szCs w:val="24"/>
        </w:rPr>
      </w:pPr>
    </w:p>
    <w:p w14:paraId="2B8D3F90" w14:textId="77777777" w:rsidR="00DE7957" w:rsidRPr="00445D22" w:rsidRDefault="00695ADD" w:rsidP="00396164">
      <w:pPr>
        <w:pStyle w:val="ListParagraph"/>
        <w:numPr>
          <w:ilvl w:val="0"/>
          <w:numId w:val="3"/>
        </w:numPr>
        <w:spacing w:after="0" w:line="240" w:lineRule="auto"/>
        <w:ind w:left="360"/>
        <w:jc w:val="both"/>
        <w:rPr>
          <w:rFonts w:ascii="Calibri" w:hAnsi="Calibri" w:cs="Calibri"/>
          <w:sz w:val="24"/>
          <w:szCs w:val="24"/>
        </w:rPr>
      </w:pPr>
      <w:r w:rsidRPr="00445D22">
        <w:rPr>
          <w:rFonts w:ascii="Calibri" w:hAnsi="Calibri" w:cs="Calibri"/>
          <w:sz w:val="24"/>
          <w:szCs w:val="24"/>
        </w:rPr>
        <w:t>Por concepto de financiamiento bonificado</w:t>
      </w:r>
      <w:r w:rsidR="00DE514D" w:rsidRPr="00445D22">
        <w:rPr>
          <w:rFonts w:ascii="Calibri" w:hAnsi="Calibri" w:cs="Calibri"/>
          <w:sz w:val="24"/>
          <w:szCs w:val="24"/>
        </w:rPr>
        <w:t xml:space="preserve"> aprobado por el Congreso de la República</w:t>
      </w:r>
      <w:r w:rsidRPr="00445D22">
        <w:rPr>
          <w:rFonts w:ascii="Calibri" w:hAnsi="Calibri" w:cs="Calibri"/>
          <w:sz w:val="24"/>
          <w:szCs w:val="24"/>
        </w:rPr>
        <w:t>,</w:t>
      </w:r>
      <w:r w:rsidR="00DE514D" w:rsidRPr="00445D22">
        <w:rPr>
          <w:rFonts w:ascii="Calibri" w:hAnsi="Calibri" w:cs="Calibri"/>
          <w:sz w:val="24"/>
          <w:szCs w:val="24"/>
        </w:rPr>
        <w:t xml:space="preserve"> se colocaron Q</w:t>
      </w:r>
      <w:r w:rsidR="0078226F" w:rsidRPr="00445D22">
        <w:rPr>
          <w:rFonts w:ascii="Calibri" w:hAnsi="Calibri" w:cs="Calibri"/>
          <w:sz w:val="24"/>
          <w:szCs w:val="24"/>
        </w:rPr>
        <w:t xml:space="preserve"> </w:t>
      </w:r>
      <w:r w:rsidR="00DE7957" w:rsidRPr="00445D22">
        <w:rPr>
          <w:rFonts w:ascii="Calibri" w:hAnsi="Calibri" w:cs="Calibri"/>
          <w:sz w:val="24"/>
          <w:szCs w:val="24"/>
        </w:rPr>
        <w:t>9</w:t>
      </w:r>
      <w:r w:rsidRPr="00445D22">
        <w:rPr>
          <w:rFonts w:ascii="Calibri" w:hAnsi="Calibri" w:cs="Calibri"/>
          <w:sz w:val="24"/>
          <w:szCs w:val="24"/>
        </w:rPr>
        <w:t>,</w:t>
      </w:r>
      <w:r w:rsidR="00DE7957" w:rsidRPr="00445D22">
        <w:rPr>
          <w:rFonts w:ascii="Calibri" w:hAnsi="Calibri" w:cs="Calibri"/>
          <w:sz w:val="24"/>
          <w:szCs w:val="24"/>
        </w:rPr>
        <w:t>983</w:t>
      </w:r>
      <w:r w:rsidR="00DE514D" w:rsidRPr="00445D22">
        <w:rPr>
          <w:rFonts w:ascii="Calibri" w:hAnsi="Calibri" w:cs="Calibri"/>
          <w:sz w:val="24"/>
          <w:szCs w:val="24"/>
        </w:rPr>
        <w:t xml:space="preserve"> millones</w:t>
      </w:r>
      <w:r w:rsidR="00DE7957" w:rsidRPr="00445D22">
        <w:rPr>
          <w:rFonts w:ascii="Calibri" w:hAnsi="Calibri" w:cs="Calibri"/>
          <w:sz w:val="24"/>
          <w:szCs w:val="24"/>
        </w:rPr>
        <w:t>, los recursos financieros obtenidos permitirán financiar diversos programas y/o proyectos del Gobierno de Guatemala.</w:t>
      </w:r>
    </w:p>
    <w:p w14:paraId="64CC3294" w14:textId="77777777" w:rsidR="00F40BBE" w:rsidRPr="00445D22" w:rsidRDefault="00F40BBE" w:rsidP="00060E19">
      <w:pPr>
        <w:pStyle w:val="ListParagraph"/>
        <w:spacing w:after="0" w:line="240" w:lineRule="auto"/>
        <w:ind w:left="360"/>
        <w:jc w:val="both"/>
        <w:rPr>
          <w:rFonts w:ascii="Calibri" w:hAnsi="Calibri" w:cs="Calibri"/>
          <w:sz w:val="24"/>
          <w:szCs w:val="24"/>
        </w:rPr>
      </w:pPr>
    </w:p>
    <w:p w14:paraId="08BD4B9C" w14:textId="77777777" w:rsidR="00DE514D" w:rsidRPr="00445D22" w:rsidRDefault="00695ADD" w:rsidP="00396164">
      <w:pPr>
        <w:pStyle w:val="ListParagraph"/>
        <w:numPr>
          <w:ilvl w:val="0"/>
          <w:numId w:val="5"/>
        </w:numPr>
        <w:spacing w:after="0" w:line="240" w:lineRule="auto"/>
        <w:ind w:left="360"/>
        <w:jc w:val="both"/>
        <w:rPr>
          <w:rFonts w:ascii="Calibri" w:hAnsi="Calibri" w:cs="Calibri"/>
          <w:sz w:val="24"/>
          <w:szCs w:val="24"/>
        </w:rPr>
      </w:pPr>
      <w:r w:rsidRPr="00445D22">
        <w:rPr>
          <w:rFonts w:ascii="Calibri" w:hAnsi="Calibri" w:cs="Calibri"/>
          <w:sz w:val="24"/>
          <w:szCs w:val="24"/>
        </w:rPr>
        <w:t xml:space="preserve">En relación al </w:t>
      </w:r>
      <w:r w:rsidR="00DE514D" w:rsidRPr="00445D22">
        <w:rPr>
          <w:rFonts w:ascii="Calibri" w:hAnsi="Calibri" w:cs="Calibri"/>
          <w:sz w:val="24"/>
          <w:szCs w:val="24"/>
        </w:rPr>
        <w:t xml:space="preserve">pago de la deuda pública contraída por el Estado de Guatemala, en el </w:t>
      </w:r>
      <w:r w:rsidR="00DE7957" w:rsidRPr="00445D22">
        <w:rPr>
          <w:rFonts w:ascii="Calibri" w:hAnsi="Calibri" w:cs="Calibri"/>
          <w:sz w:val="24"/>
          <w:szCs w:val="24"/>
        </w:rPr>
        <w:t>tercer</w:t>
      </w:r>
      <w:r w:rsidR="00DE514D" w:rsidRPr="00445D22">
        <w:rPr>
          <w:rFonts w:ascii="Calibri" w:hAnsi="Calibri" w:cs="Calibri"/>
          <w:sz w:val="24"/>
          <w:szCs w:val="24"/>
        </w:rPr>
        <w:t xml:space="preserve"> cuatrimestre se realizaron </w:t>
      </w:r>
      <w:r w:rsidR="00DE7957" w:rsidRPr="00445D22">
        <w:rPr>
          <w:rFonts w:ascii="Calibri" w:hAnsi="Calibri" w:cs="Calibri"/>
          <w:sz w:val="24"/>
          <w:szCs w:val="24"/>
        </w:rPr>
        <w:t>527</w:t>
      </w:r>
      <w:r w:rsidR="00DE514D" w:rsidRPr="00445D22">
        <w:rPr>
          <w:rFonts w:ascii="Calibri" w:hAnsi="Calibri" w:cs="Calibri"/>
          <w:sz w:val="24"/>
          <w:szCs w:val="24"/>
        </w:rPr>
        <w:t xml:space="preserve"> instrucciones de pago, de acuerdo con lo programado se ha ejecutado el </w:t>
      </w:r>
      <w:r w:rsidR="00DE7957" w:rsidRPr="00445D22">
        <w:rPr>
          <w:rFonts w:ascii="Calibri" w:hAnsi="Calibri" w:cs="Calibri"/>
          <w:sz w:val="24"/>
          <w:szCs w:val="24"/>
        </w:rPr>
        <w:t>25.35</w:t>
      </w:r>
      <w:r w:rsidR="00DE514D" w:rsidRPr="00445D22">
        <w:rPr>
          <w:rFonts w:ascii="Calibri" w:hAnsi="Calibri" w:cs="Calibri"/>
          <w:sz w:val="24"/>
          <w:szCs w:val="24"/>
        </w:rPr>
        <w:t>%.</w:t>
      </w:r>
    </w:p>
    <w:p w14:paraId="610A4C1A" w14:textId="77777777" w:rsidR="00350340" w:rsidRPr="00445D22" w:rsidRDefault="00350340" w:rsidP="00350340">
      <w:pPr>
        <w:spacing w:after="0" w:line="240" w:lineRule="auto"/>
        <w:jc w:val="both"/>
        <w:rPr>
          <w:rFonts w:ascii="Calibri" w:hAnsi="Calibri" w:cs="Calibri"/>
          <w:sz w:val="24"/>
          <w:szCs w:val="24"/>
        </w:rPr>
      </w:pPr>
    </w:p>
    <w:p w14:paraId="631676A2" w14:textId="77777777" w:rsidR="004311A5" w:rsidRPr="00445D22" w:rsidRDefault="004311A5" w:rsidP="004311A5">
      <w:pPr>
        <w:pStyle w:val="ListParagraph"/>
        <w:spacing w:after="0" w:line="240" w:lineRule="auto"/>
        <w:ind w:left="360"/>
        <w:jc w:val="both"/>
        <w:rPr>
          <w:rFonts w:ascii="Calibri" w:hAnsi="Calibri" w:cs="Calibri"/>
          <w:sz w:val="24"/>
          <w:szCs w:val="24"/>
        </w:rPr>
      </w:pPr>
    </w:p>
    <w:p w14:paraId="6FD201FC" w14:textId="68A5331E" w:rsidR="00DE514D" w:rsidRPr="008E611B" w:rsidRDefault="008E611B" w:rsidP="00B77AA4">
      <w:pPr>
        <w:shd w:val="clear" w:color="auto" w:fill="95B3D7" w:themeFill="accent1" w:themeFillTint="99"/>
        <w:rPr>
          <w:rFonts w:ascii="Calibri" w:eastAsia="Calibri" w:hAnsi="Calibri" w:cs="Calibri"/>
          <w:b/>
          <w:color w:val="17365D" w:themeColor="text2" w:themeShade="BF"/>
          <w:sz w:val="32"/>
          <w:szCs w:val="32"/>
        </w:rPr>
      </w:pPr>
      <w:r>
        <w:rPr>
          <w:rFonts w:ascii="Calibri" w:eastAsia="Calibri" w:hAnsi="Calibri" w:cs="Calibri"/>
          <w:b/>
          <w:color w:val="17365D" w:themeColor="text2" w:themeShade="BF"/>
          <w:sz w:val="32"/>
          <w:szCs w:val="32"/>
        </w:rPr>
        <w:t xml:space="preserve"> </w:t>
      </w:r>
      <w:r w:rsidR="007D16ED" w:rsidRPr="008E611B">
        <w:rPr>
          <w:rFonts w:ascii="Calibri" w:eastAsia="Calibri" w:hAnsi="Calibri" w:cs="Calibri"/>
          <w:b/>
          <w:color w:val="17365D" w:themeColor="text2" w:themeShade="BF"/>
          <w:sz w:val="32"/>
          <w:szCs w:val="32"/>
        </w:rPr>
        <w:t>CONSOLIDADO DE LOGROS INSTITUCIONALES</w:t>
      </w:r>
    </w:p>
    <w:p w14:paraId="66A31848" w14:textId="77777777" w:rsidR="00171460" w:rsidRPr="00445D22" w:rsidRDefault="00171460" w:rsidP="00171460">
      <w:pPr>
        <w:pStyle w:val="ListParagraph"/>
        <w:spacing w:after="0" w:line="240" w:lineRule="auto"/>
        <w:ind w:left="360"/>
        <w:jc w:val="center"/>
        <w:rPr>
          <w:rFonts w:ascii="Calibri" w:hAnsi="Calibri" w:cs="Calibri"/>
          <w:b/>
          <w:sz w:val="24"/>
          <w:szCs w:val="24"/>
        </w:rPr>
      </w:pPr>
      <w:r w:rsidRPr="00445D22">
        <w:rPr>
          <w:rFonts w:ascii="Calibri" w:hAnsi="Calibri" w:cs="Calibri"/>
          <w:b/>
          <w:sz w:val="24"/>
          <w:szCs w:val="24"/>
        </w:rPr>
        <w:t>Tabla 1</w:t>
      </w:r>
    </w:p>
    <w:p w14:paraId="19E76630" w14:textId="77777777" w:rsidR="00171460" w:rsidRPr="00445D22" w:rsidRDefault="00171460" w:rsidP="00171460">
      <w:pPr>
        <w:pStyle w:val="ListParagraph"/>
        <w:spacing w:after="0" w:line="240" w:lineRule="auto"/>
        <w:ind w:left="360"/>
        <w:jc w:val="center"/>
        <w:rPr>
          <w:rFonts w:ascii="Calibri" w:hAnsi="Calibri" w:cs="Calibri"/>
          <w:b/>
          <w:sz w:val="24"/>
          <w:szCs w:val="24"/>
        </w:rPr>
      </w:pPr>
      <w:r w:rsidRPr="00445D22">
        <w:rPr>
          <w:rFonts w:ascii="Calibri" w:hAnsi="Calibri" w:cs="Calibri"/>
          <w:b/>
          <w:sz w:val="24"/>
          <w:szCs w:val="24"/>
        </w:rPr>
        <w:t>Ministerio de Finanzas Públicas</w:t>
      </w:r>
      <w:r w:rsidRPr="00445D22">
        <w:rPr>
          <w:rFonts w:ascii="Calibri" w:hAnsi="Calibri" w:cs="Calibri"/>
          <w:b/>
          <w:sz w:val="24"/>
          <w:szCs w:val="24"/>
        </w:rPr>
        <w:br/>
        <w:t>Consolidado de logros institucionales</w:t>
      </w:r>
    </w:p>
    <w:p w14:paraId="5D4805B8" w14:textId="77777777" w:rsidR="00171460" w:rsidRPr="00445D22" w:rsidRDefault="00171460" w:rsidP="00171460">
      <w:pPr>
        <w:pBdr>
          <w:top w:val="nil"/>
          <w:left w:val="nil"/>
          <w:bottom w:val="nil"/>
          <w:right w:val="nil"/>
          <w:between w:val="nil"/>
        </w:pBdr>
        <w:jc w:val="center"/>
        <w:rPr>
          <w:rFonts w:ascii="Calibri" w:eastAsia="Montserrat" w:hAnsi="Calibri" w:cs="Calibri"/>
          <w:b/>
          <w:sz w:val="8"/>
          <w:szCs w:val="8"/>
        </w:rPr>
      </w:pPr>
    </w:p>
    <w:tbl>
      <w:tblPr>
        <w:tblStyle w:val="TableGrid"/>
        <w:tblW w:w="0" w:type="auto"/>
        <w:tblInd w:w="360" w:type="dxa"/>
        <w:tblLook w:val="04A0" w:firstRow="1" w:lastRow="0" w:firstColumn="1" w:lastColumn="0" w:noHBand="0" w:noVBand="1"/>
      </w:tblPr>
      <w:tblGrid>
        <w:gridCol w:w="3282"/>
        <w:gridCol w:w="2544"/>
        <w:gridCol w:w="2642"/>
      </w:tblGrid>
      <w:tr w:rsidR="00171460" w:rsidRPr="00445D22" w14:paraId="7CC0EF5A" w14:textId="77777777" w:rsidTr="00026A2D">
        <w:trPr>
          <w:trHeight w:val="624"/>
          <w:tblHeader/>
        </w:trPr>
        <w:tc>
          <w:tcPr>
            <w:tcW w:w="3292" w:type="dxa"/>
            <w:shd w:val="clear" w:color="auto" w:fill="95B3D7" w:themeFill="accent1" w:themeFillTint="99"/>
            <w:vAlign w:val="center"/>
          </w:tcPr>
          <w:p w14:paraId="2F104C38" w14:textId="77777777" w:rsidR="00171460" w:rsidRPr="00445D22" w:rsidRDefault="00171460" w:rsidP="000C4ED8">
            <w:pPr>
              <w:pStyle w:val="ListParagraph"/>
              <w:ind w:left="0"/>
              <w:jc w:val="center"/>
              <w:rPr>
                <w:rFonts w:ascii="Calibri" w:eastAsia="Montserrat" w:hAnsi="Calibri" w:cs="Calibri"/>
                <w:b/>
                <w:sz w:val="24"/>
                <w:szCs w:val="24"/>
              </w:rPr>
            </w:pPr>
            <w:r w:rsidRPr="00445D22">
              <w:rPr>
                <w:rFonts w:ascii="Calibri" w:eastAsia="Montserrat" w:hAnsi="Calibri" w:cs="Calibri"/>
                <w:b/>
                <w:sz w:val="24"/>
                <w:szCs w:val="24"/>
              </w:rPr>
              <w:t>Logro institucional</w:t>
            </w:r>
          </w:p>
        </w:tc>
        <w:tc>
          <w:tcPr>
            <w:tcW w:w="2552" w:type="dxa"/>
            <w:shd w:val="clear" w:color="auto" w:fill="95B3D7" w:themeFill="accent1" w:themeFillTint="99"/>
            <w:vAlign w:val="center"/>
          </w:tcPr>
          <w:p w14:paraId="1F48DB29" w14:textId="77777777" w:rsidR="00171460" w:rsidRPr="00445D22" w:rsidRDefault="00171460" w:rsidP="000C4ED8">
            <w:pPr>
              <w:pStyle w:val="ListParagraph"/>
              <w:ind w:left="0"/>
              <w:jc w:val="center"/>
              <w:rPr>
                <w:rFonts w:ascii="Calibri" w:eastAsia="Montserrat" w:hAnsi="Calibri" w:cs="Calibri"/>
                <w:b/>
                <w:sz w:val="24"/>
                <w:szCs w:val="24"/>
              </w:rPr>
            </w:pPr>
            <w:r w:rsidRPr="00445D22">
              <w:rPr>
                <w:rFonts w:ascii="Calibri" w:eastAsia="Montserrat" w:hAnsi="Calibri" w:cs="Calibri"/>
                <w:b/>
                <w:sz w:val="24"/>
                <w:szCs w:val="24"/>
              </w:rPr>
              <w:t>Meta física ejecutada</w:t>
            </w:r>
          </w:p>
        </w:tc>
        <w:tc>
          <w:tcPr>
            <w:tcW w:w="2648" w:type="dxa"/>
            <w:shd w:val="clear" w:color="auto" w:fill="95B3D7" w:themeFill="accent1" w:themeFillTint="99"/>
            <w:vAlign w:val="center"/>
          </w:tcPr>
          <w:p w14:paraId="490C6D11" w14:textId="77777777" w:rsidR="00171460" w:rsidRPr="00445D22" w:rsidRDefault="00171460" w:rsidP="000C4ED8">
            <w:pPr>
              <w:pStyle w:val="ListParagraph"/>
              <w:ind w:left="0"/>
              <w:jc w:val="center"/>
              <w:rPr>
                <w:rFonts w:ascii="Calibri" w:eastAsia="Montserrat" w:hAnsi="Calibri" w:cs="Calibri"/>
                <w:b/>
                <w:sz w:val="24"/>
                <w:szCs w:val="24"/>
              </w:rPr>
            </w:pPr>
            <w:r w:rsidRPr="00445D22">
              <w:rPr>
                <w:rFonts w:ascii="Calibri" w:eastAsia="Montserrat" w:hAnsi="Calibri" w:cs="Calibri"/>
                <w:b/>
                <w:sz w:val="24"/>
                <w:szCs w:val="24"/>
              </w:rPr>
              <w:t>Población beneficiada</w:t>
            </w:r>
          </w:p>
        </w:tc>
      </w:tr>
      <w:tr w:rsidR="00846D03" w:rsidRPr="00445D22" w14:paraId="7637AA58" w14:textId="77777777" w:rsidTr="00ED769D">
        <w:tc>
          <w:tcPr>
            <w:tcW w:w="3292" w:type="dxa"/>
          </w:tcPr>
          <w:p w14:paraId="71345044" w14:textId="77777777" w:rsidR="0010560D" w:rsidRDefault="00846D03" w:rsidP="0010560D">
            <w:pPr>
              <w:rPr>
                <w:rFonts w:ascii="Calibri" w:hAnsi="Calibri" w:cs="Calibri"/>
                <w:sz w:val="24"/>
                <w:szCs w:val="24"/>
              </w:rPr>
            </w:pPr>
            <w:r w:rsidRPr="00445D22">
              <w:rPr>
                <w:rFonts w:ascii="Calibri" w:hAnsi="Calibri" w:cs="Calibri"/>
                <w:sz w:val="24"/>
                <w:szCs w:val="24"/>
              </w:rPr>
              <w:t>Presentado y aprobado el Presupuesto General de Ingresos y Egresos del Estado y Entidades Descentralizadas para el ejercicio fiscal 2022,  ante el Congreso de la República, por un monto</w:t>
            </w:r>
          </w:p>
          <w:p w14:paraId="0184068C" w14:textId="77777777" w:rsidR="0010560D" w:rsidRDefault="00846D03" w:rsidP="0010560D">
            <w:pPr>
              <w:rPr>
                <w:rFonts w:ascii="Calibri" w:hAnsi="Calibri" w:cs="Calibri"/>
                <w:sz w:val="24"/>
                <w:szCs w:val="24"/>
              </w:rPr>
            </w:pPr>
            <w:r w:rsidRPr="00445D22">
              <w:rPr>
                <w:rFonts w:ascii="Calibri" w:hAnsi="Calibri" w:cs="Calibri"/>
                <w:sz w:val="24"/>
                <w:szCs w:val="24"/>
              </w:rPr>
              <w:t>de Q 106.2 mil millones</w:t>
            </w:r>
          </w:p>
          <w:p w14:paraId="10AB4928" w14:textId="109D66F9" w:rsidR="00846D03" w:rsidRPr="00445D22" w:rsidRDefault="00846D03" w:rsidP="0010560D">
            <w:pPr>
              <w:rPr>
                <w:rFonts w:ascii="Calibri" w:hAnsi="Calibri" w:cs="Calibri"/>
                <w:sz w:val="24"/>
                <w:szCs w:val="24"/>
              </w:rPr>
            </w:pPr>
            <w:r w:rsidRPr="00445D22">
              <w:rPr>
                <w:rFonts w:ascii="Calibri" w:hAnsi="Calibri" w:cs="Calibri"/>
                <w:sz w:val="24"/>
                <w:szCs w:val="24"/>
              </w:rPr>
              <w:t xml:space="preserve">de Quetzales. </w:t>
            </w:r>
          </w:p>
        </w:tc>
        <w:tc>
          <w:tcPr>
            <w:tcW w:w="2552" w:type="dxa"/>
          </w:tcPr>
          <w:p w14:paraId="162247F2" w14:textId="77777777" w:rsidR="00846D03" w:rsidRPr="00445D22" w:rsidRDefault="00846D03" w:rsidP="00897860">
            <w:pPr>
              <w:pStyle w:val="ListParagraph"/>
              <w:ind w:left="0"/>
              <w:jc w:val="center"/>
              <w:rPr>
                <w:rFonts w:ascii="Calibri" w:eastAsia="Montserrat" w:hAnsi="Calibri" w:cs="Calibri"/>
              </w:rPr>
            </w:pPr>
          </w:p>
          <w:p w14:paraId="3C2EBC2C" w14:textId="77777777" w:rsidR="00897860" w:rsidRPr="00445D22" w:rsidRDefault="00897860" w:rsidP="00897860">
            <w:pPr>
              <w:pStyle w:val="ListParagraph"/>
              <w:ind w:left="0"/>
              <w:jc w:val="center"/>
              <w:rPr>
                <w:rFonts w:ascii="Calibri" w:eastAsia="Montserrat" w:hAnsi="Calibri" w:cs="Calibri"/>
              </w:rPr>
            </w:pPr>
          </w:p>
          <w:p w14:paraId="67F5B2BB" w14:textId="77777777" w:rsidR="00897860"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1 Documento</w:t>
            </w:r>
          </w:p>
        </w:tc>
        <w:tc>
          <w:tcPr>
            <w:tcW w:w="2648" w:type="dxa"/>
          </w:tcPr>
          <w:p w14:paraId="57D6AC77" w14:textId="77777777" w:rsidR="00846D03" w:rsidRPr="00445D22" w:rsidRDefault="00846D03" w:rsidP="009608D1">
            <w:pPr>
              <w:pStyle w:val="ListParagraph"/>
              <w:ind w:left="0"/>
              <w:jc w:val="both"/>
              <w:rPr>
                <w:rFonts w:ascii="Calibri" w:eastAsia="Montserrat" w:hAnsi="Calibri" w:cs="Calibri"/>
              </w:rPr>
            </w:pPr>
          </w:p>
          <w:p w14:paraId="61A326B9" w14:textId="77777777" w:rsidR="00AD7C94" w:rsidRPr="00445D22" w:rsidRDefault="00AD7C94" w:rsidP="009608D1">
            <w:pPr>
              <w:pStyle w:val="ListParagraph"/>
              <w:ind w:left="0"/>
              <w:jc w:val="both"/>
              <w:rPr>
                <w:rFonts w:ascii="Calibri" w:eastAsia="Montserrat" w:hAnsi="Calibri" w:cs="Calibri"/>
              </w:rPr>
            </w:pPr>
          </w:p>
          <w:p w14:paraId="4B116AB6" w14:textId="77777777" w:rsidR="00AD7C94" w:rsidRPr="00445D22" w:rsidRDefault="00AD7C94" w:rsidP="0010560D">
            <w:pPr>
              <w:pStyle w:val="ListParagraph"/>
              <w:ind w:left="0"/>
              <w:jc w:val="center"/>
              <w:rPr>
                <w:rFonts w:ascii="Calibri" w:eastAsia="Montserrat" w:hAnsi="Calibri" w:cs="Calibri"/>
              </w:rPr>
            </w:pPr>
            <w:r w:rsidRPr="00445D22">
              <w:rPr>
                <w:rFonts w:ascii="Calibri" w:eastAsia="Montserrat" w:hAnsi="Calibri" w:cs="Calibri"/>
              </w:rPr>
              <w:t>497 Instituciones de gobierno</w:t>
            </w:r>
          </w:p>
        </w:tc>
      </w:tr>
      <w:tr w:rsidR="00103FEA" w:rsidRPr="00445D22" w14:paraId="5F6C473E" w14:textId="77777777" w:rsidTr="00ED769D">
        <w:tc>
          <w:tcPr>
            <w:tcW w:w="3292" w:type="dxa"/>
          </w:tcPr>
          <w:p w14:paraId="508EF731" w14:textId="77777777" w:rsidR="00103FEA" w:rsidRPr="00445D22" w:rsidRDefault="00E42FFF" w:rsidP="0010560D">
            <w:pPr>
              <w:rPr>
                <w:rFonts w:ascii="Calibri" w:hAnsi="Calibri" w:cs="Calibri"/>
                <w:sz w:val="24"/>
                <w:szCs w:val="24"/>
              </w:rPr>
            </w:pPr>
            <w:r w:rsidRPr="00445D22">
              <w:rPr>
                <w:rFonts w:ascii="Calibri" w:hAnsi="Calibri" w:cs="Calibri"/>
                <w:sz w:val="24"/>
                <w:szCs w:val="24"/>
              </w:rPr>
              <w:t>Lanzamiento de Portales Fiscales de Transparencia</w:t>
            </w:r>
            <w:r w:rsidR="00103FEA" w:rsidRPr="00445D22">
              <w:rPr>
                <w:rFonts w:ascii="Calibri" w:hAnsi="Calibri" w:cs="Calibri"/>
                <w:sz w:val="24"/>
                <w:szCs w:val="24"/>
              </w:rPr>
              <w:t>:</w:t>
            </w:r>
          </w:p>
          <w:p w14:paraId="17ADEB25" w14:textId="77777777" w:rsidR="00103FEA" w:rsidRPr="00445D22" w:rsidRDefault="00D40F65" w:rsidP="0010560D">
            <w:pPr>
              <w:rPr>
                <w:rFonts w:ascii="Calibri" w:hAnsi="Calibri" w:cs="Calibri"/>
                <w:sz w:val="24"/>
                <w:szCs w:val="24"/>
              </w:rPr>
            </w:pPr>
            <w:r w:rsidRPr="00445D22">
              <w:rPr>
                <w:rFonts w:ascii="Calibri" w:hAnsi="Calibri" w:cs="Calibri"/>
                <w:sz w:val="24"/>
                <w:szCs w:val="24"/>
              </w:rPr>
              <w:lastRenderedPageBreak/>
              <w:t xml:space="preserve">Transparencia Fiscal, </w:t>
            </w:r>
            <w:r w:rsidR="00103FEA" w:rsidRPr="00445D22">
              <w:rPr>
                <w:rFonts w:ascii="Calibri" w:hAnsi="Calibri" w:cs="Calibri"/>
                <w:sz w:val="24"/>
                <w:szCs w:val="24"/>
              </w:rPr>
              <w:t>Datos abiertos,</w:t>
            </w:r>
            <w:r w:rsidR="00897860" w:rsidRPr="00445D22">
              <w:rPr>
                <w:rFonts w:ascii="Calibri" w:hAnsi="Calibri" w:cs="Calibri"/>
                <w:sz w:val="24"/>
                <w:szCs w:val="24"/>
              </w:rPr>
              <w:t xml:space="preserve"> </w:t>
            </w:r>
            <w:r w:rsidR="00103FEA" w:rsidRPr="00445D22">
              <w:rPr>
                <w:rFonts w:ascii="Calibri" w:hAnsi="Calibri" w:cs="Calibri"/>
                <w:sz w:val="24"/>
                <w:szCs w:val="24"/>
              </w:rPr>
              <w:t xml:space="preserve"> ONGs, </w:t>
            </w:r>
            <w:r w:rsidR="00897860" w:rsidRPr="00445D22">
              <w:rPr>
                <w:rFonts w:ascii="Calibri" w:hAnsi="Calibri" w:cs="Calibri"/>
                <w:sz w:val="24"/>
                <w:szCs w:val="24"/>
              </w:rPr>
              <w:t>T</w:t>
            </w:r>
            <w:r w:rsidR="00103FEA" w:rsidRPr="00445D22">
              <w:rPr>
                <w:rFonts w:ascii="Calibri" w:hAnsi="Calibri" w:cs="Calibri"/>
                <w:sz w:val="24"/>
                <w:szCs w:val="24"/>
              </w:rPr>
              <w:t>ransparencia presupuestaria, GL cobros en línea</w:t>
            </w:r>
            <w:r w:rsidR="00E42FFF" w:rsidRPr="00445D22">
              <w:rPr>
                <w:rFonts w:ascii="Calibri" w:hAnsi="Calibri" w:cs="Calibri"/>
                <w:sz w:val="24"/>
                <w:szCs w:val="24"/>
              </w:rPr>
              <w:t>, Atención virtual,</w:t>
            </w:r>
            <w:r w:rsidR="00103FEA" w:rsidRPr="00445D22">
              <w:rPr>
                <w:rFonts w:ascii="Calibri" w:hAnsi="Calibri" w:cs="Calibri"/>
                <w:sz w:val="24"/>
                <w:szCs w:val="24"/>
              </w:rPr>
              <w:t xml:space="preserve"> </w:t>
            </w:r>
            <w:r w:rsidR="00897860" w:rsidRPr="00445D22">
              <w:rPr>
                <w:rFonts w:ascii="Calibri" w:hAnsi="Calibri" w:cs="Calibri"/>
                <w:sz w:val="24"/>
                <w:szCs w:val="24"/>
              </w:rPr>
              <w:t>F</w:t>
            </w:r>
            <w:r w:rsidR="000879F9" w:rsidRPr="00445D22">
              <w:rPr>
                <w:rFonts w:ascii="Calibri" w:hAnsi="Calibri" w:cs="Calibri"/>
                <w:sz w:val="24"/>
                <w:szCs w:val="24"/>
              </w:rPr>
              <w:t xml:space="preserve">ideicomisos </w:t>
            </w:r>
            <w:r w:rsidR="00E42FFF" w:rsidRPr="00445D22">
              <w:rPr>
                <w:rFonts w:ascii="Calibri" w:hAnsi="Calibri" w:cs="Calibri"/>
                <w:sz w:val="24"/>
                <w:szCs w:val="24"/>
              </w:rPr>
              <w:t xml:space="preserve"> y </w:t>
            </w:r>
            <w:r w:rsidR="00897860" w:rsidRPr="00445D22">
              <w:rPr>
                <w:rFonts w:ascii="Calibri" w:hAnsi="Calibri" w:cs="Calibri"/>
                <w:sz w:val="24"/>
                <w:szCs w:val="24"/>
              </w:rPr>
              <w:t>P</w:t>
            </w:r>
            <w:r w:rsidR="00103FEA" w:rsidRPr="00445D22">
              <w:rPr>
                <w:rFonts w:ascii="Calibri" w:hAnsi="Calibri" w:cs="Calibri"/>
                <w:sz w:val="24"/>
                <w:szCs w:val="24"/>
              </w:rPr>
              <w:t>réstamos externos.</w:t>
            </w:r>
          </w:p>
        </w:tc>
        <w:tc>
          <w:tcPr>
            <w:tcW w:w="2552" w:type="dxa"/>
          </w:tcPr>
          <w:p w14:paraId="0622A3D7" w14:textId="77777777" w:rsidR="00897860" w:rsidRPr="00445D22" w:rsidRDefault="00897860" w:rsidP="00897860">
            <w:pPr>
              <w:pStyle w:val="ListParagraph"/>
              <w:ind w:left="0"/>
              <w:jc w:val="center"/>
              <w:rPr>
                <w:rFonts w:ascii="Calibri" w:eastAsia="Montserrat" w:hAnsi="Calibri" w:cs="Calibri"/>
              </w:rPr>
            </w:pPr>
          </w:p>
          <w:p w14:paraId="79F427D3" w14:textId="77777777" w:rsidR="00897860" w:rsidRPr="00445D22" w:rsidRDefault="00897860" w:rsidP="00897860">
            <w:pPr>
              <w:pStyle w:val="ListParagraph"/>
              <w:ind w:left="0"/>
              <w:jc w:val="center"/>
              <w:rPr>
                <w:rFonts w:ascii="Calibri" w:eastAsia="Montserrat" w:hAnsi="Calibri" w:cs="Calibri"/>
              </w:rPr>
            </w:pPr>
          </w:p>
          <w:p w14:paraId="26A8B6C0" w14:textId="77777777" w:rsidR="00897860" w:rsidRPr="00445D22" w:rsidRDefault="00897860" w:rsidP="00897860">
            <w:pPr>
              <w:pStyle w:val="ListParagraph"/>
              <w:ind w:left="0"/>
              <w:jc w:val="center"/>
              <w:rPr>
                <w:rFonts w:ascii="Calibri" w:eastAsia="Montserrat" w:hAnsi="Calibri" w:cs="Calibri"/>
              </w:rPr>
            </w:pPr>
          </w:p>
          <w:p w14:paraId="3177A936" w14:textId="77777777" w:rsidR="00103FEA" w:rsidRPr="00445D22" w:rsidRDefault="00E92A90" w:rsidP="00897860">
            <w:pPr>
              <w:pStyle w:val="ListParagraph"/>
              <w:ind w:left="0"/>
              <w:jc w:val="center"/>
              <w:rPr>
                <w:rFonts w:ascii="Calibri" w:eastAsia="Montserrat" w:hAnsi="Calibri" w:cs="Calibri"/>
              </w:rPr>
            </w:pPr>
            <w:r w:rsidRPr="00445D22">
              <w:rPr>
                <w:rFonts w:ascii="Calibri" w:eastAsia="Montserrat" w:hAnsi="Calibri" w:cs="Calibri"/>
              </w:rPr>
              <w:t>7</w:t>
            </w:r>
            <w:r w:rsidR="00897860" w:rsidRPr="00445D22">
              <w:rPr>
                <w:rFonts w:ascii="Calibri" w:eastAsia="Montserrat" w:hAnsi="Calibri" w:cs="Calibri"/>
              </w:rPr>
              <w:t xml:space="preserve"> Portales</w:t>
            </w:r>
          </w:p>
        </w:tc>
        <w:tc>
          <w:tcPr>
            <w:tcW w:w="2648" w:type="dxa"/>
          </w:tcPr>
          <w:p w14:paraId="56A33EB4" w14:textId="77777777" w:rsidR="00103FEA" w:rsidRPr="00445D22" w:rsidRDefault="00103FEA" w:rsidP="00026A2D">
            <w:pPr>
              <w:pStyle w:val="ListParagraph"/>
              <w:ind w:left="0"/>
              <w:jc w:val="center"/>
              <w:rPr>
                <w:rFonts w:ascii="Calibri" w:eastAsia="Montserrat" w:hAnsi="Calibri" w:cs="Calibri"/>
              </w:rPr>
            </w:pPr>
          </w:p>
          <w:p w14:paraId="4FA9612C" w14:textId="77777777" w:rsidR="00AD7C94" w:rsidRPr="00445D22" w:rsidRDefault="00AD7C94" w:rsidP="00026A2D">
            <w:pPr>
              <w:pStyle w:val="ListParagraph"/>
              <w:ind w:left="0"/>
              <w:jc w:val="center"/>
              <w:rPr>
                <w:rFonts w:ascii="Calibri" w:eastAsia="Montserrat" w:hAnsi="Calibri" w:cs="Calibri"/>
              </w:rPr>
            </w:pPr>
          </w:p>
          <w:p w14:paraId="3001B066" w14:textId="77777777" w:rsidR="00AD7C94" w:rsidRPr="00445D22" w:rsidRDefault="00AD7C94" w:rsidP="00026A2D">
            <w:pPr>
              <w:pStyle w:val="ListParagraph"/>
              <w:ind w:left="0"/>
              <w:jc w:val="center"/>
              <w:rPr>
                <w:rFonts w:ascii="Calibri" w:eastAsia="Montserrat" w:hAnsi="Calibri" w:cs="Calibri"/>
              </w:rPr>
            </w:pPr>
          </w:p>
          <w:p w14:paraId="4BD9039C"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tc>
      </w:tr>
      <w:tr w:rsidR="00171460" w:rsidRPr="00445D22" w14:paraId="2C16BFB0" w14:textId="77777777" w:rsidTr="00ED769D">
        <w:tc>
          <w:tcPr>
            <w:tcW w:w="3292" w:type="dxa"/>
          </w:tcPr>
          <w:p w14:paraId="57F611FA" w14:textId="77777777" w:rsidR="00171460" w:rsidRPr="00445D22" w:rsidRDefault="00846D03" w:rsidP="0010560D">
            <w:pPr>
              <w:rPr>
                <w:rFonts w:ascii="Calibri" w:hAnsi="Calibri" w:cs="Calibri"/>
                <w:sz w:val="24"/>
                <w:szCs w:val="24"/>
              </w:rPr>
            </w:pPr>
            <w:r w:rsidRPr="00445D22">
              <w:rPr>
                <w:rFonts w:ascii="Calibri" w:hAnsi="Calibri" w:cs="Calibri"/>
                <w:sz w:val="24"/>
                <w:szCs w:val="24"/>
              </w:rPr>
              <w:lastRenderedPageBreak/>
              <w:t>Formulada la propuesta de la Política Fiscal Ambiental EFA.</w:t>
            </w:r>
          </w:p>
        </w:tc>
        <w:tc>
          <w:tcPr>
            <w:tcW w:w="2552" w:type="dxa"/>
          </w:tcPr>
          <w:p w14:paraId="161C98B6" w14:textId="77777777" w:rsidR="00897860" w:rsidRPr="00445D22" w:rsidRDefault="00897860" w:rsidP="00897860">
            <w:pPr>
              <w:pStyle w:val="ListParagraph"/>
              <w:ind w:left="0"/>
              <w:jc w:val="center"/>
              <w:rPr>
                <w:rFonts w:ascii="Calibri" w:eastAsia="Montserrat" w:hAnsi="Calibri" w:cs="Calibri"/>
              </w:rPr>
            </w:pPr>
          </w:p>
          <w:p w14:paraId="621B3F61" w14:textId="77777777" w:rsidR="00171460"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1 Documento</w:t>
            </w:r>
          </w:p>
        </w:tc>
        <w:tc>
          <w:tcPr>
            <w:tcW w:w="2648" w:type="dxa"/>
          </w:tcPr>
          <w:p w14:paraId="4A5B4E18" w14:textId="77777777" w:rsidR="00171460" w:rsidRPr="00445D22" w:rsidRDefault="00171460" w:rsidP="00026A2D">
            <w:pPr>
              <w:pStyle w:val="ListParagraph"/>
              <w:ind w:left="0"/>
              <w:jc w:val="center"/>
              <w:rPr>
                <w:rFonts w:ascii="Calibri" w:eastAsia="Montserrat" w:hAnsi="Calibri" w:cs="Calibri"/>
              </w:rPr>
            </w:pPr>
          </w:p>
          <w:p w14:paraId="2BCFD11A"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p w14:paraId="5E9598E0" w14:textId="77777777" w:rsidR="00AD7C94" w:rsidRPr="00445D22" w:rsidRDefault="00AD7C94" w:rsidP="00026A2D">
            <w:pPr>
              <w:pStyle w:val="ListParagraph"/>
              <w:ind w:left="0"/>
              <w:jc w:val="center"/>
              <w:rPr>
                <w:rFonts w:ascii="Calibri" w:eastAsia="Montserrat" w:hAnsi="Calibri" w:cs="Calibri"/>
              </w:rPr>
            </w:pPr>
          </w:p>
        </w:tc>
      </w:tr>
      <w:tr w:rsidR="00171460" w:rsidRPr="00445D22" w14:paraId="1B683019" w14:textId="77777777" w:rsidTr="00ED769D">
        <w:tc>
          <w:tcPr>
            <w:tcW w:w="3292" w:type="dxa"/>
          </w:tcPr>
          <w:p w14:paraId="7FC49581" w14:textId="77777777" w:rsidR="00171460" w:rsidRPr="00445D22" w:rsidRDefault="007A5727" w:rsidP="0010560D">
            <w:pPr>
              <w:rPr>
                <w:rFonts w:ascii="Calibri" w:hAnsi="Calibri" w:cs="Calibri"/>
                <w:sz w:val="24"/>
                <w:szCs w:val="24"/>
              </w:rPr>
            </w:pPr>
            <w:r w:rsidRPr="00445D22">
              <w:rPr>
                <w:rFonts w:ascii="Calibri" w:hAnsi="Calibri" w:cs="Calibri"/>
                <w:sz w:val="24"/>
                <w:szCs w:val="24"/>
              </w:rPr>
              <w:t>Realizado el Diseño del Marco referencial para la implementación de la Estrategia Fiscal Ambiental.</w:t>
            </w:r>
          </w:p>
        </w:tc>
        <w:tc>
          <w:tcPr>
            <w:tcW w:w="2552" w:type="dxa"/>
          </w:tcPr>
          <w:p w14:paraId="33A87C83" w14:textId="77777777" w:rsidR="00897860" w:rsidRPr="00445D22" w:rsidRDefault="00897860" w:rsidP="00897860">
            <w:pPr>
              <w:pStyle w:val="ListParagraph"/>
              <w:ind w:left="0"/>
              <w:jc w:val="center"/>
              <w:rPr>
                <w:rFonts w:ascii="Calibri" w:eastAsia="Montserrat" w:hAnsi="Calibri" w:cs="Calibri"/>
              </w:rPr>
            </w:pPr>
          </w:p>
          <w:p w14:paraId="61BD70CC" w14:textId="77777777" w:rsidR="00897860" w:rsidRPr="00445D22" w:rsidRDefault="00897860" w:rsidP="00897860">
            <w:pPr>
              <w:pStyle w:val="ListParagraph"/>
              <w:ind w:left="0"/>
              <w:jc w:val="center"/>
              <w:rPr>
                <w:rFonts w:ascii="Calibri" w:eastAsia="Montserrat" w:hAnsi="Calibri" w:cs="Calibri"/>
              </w:rPr>
            </w:pPr>
          </w:p>
          <w:p w14:paraId="3B9D3FB1" w14:textId="77777777" w:rsidR="00171460"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1 Documento</w:t>
            </w:r>
          </w:p>
        </w:tc>
        <w:tc>
          <w:tcPr>
            <w:tcW w:w="2648" w:type="dxa"/>
          </w:tcPr>
          <w:p w14:paraId="1AA12D43" w14:textId="77777777" w:rsidR="00171460" w:rsidRPr="00445D22" w:rsidRDefault="00171460" w:rsidP="009608D1">
            <w:pPr>
              <w:pStyle w:val="ListParagraph"/>
              <w:ind w:left="0"/>
              <w:jc w:val="both"/>
              <w:rPr>
                <w:rFonts w:ascii="Calibri" w:eastAsia="Montserrat" w:hAnsi="Calibri" w:cs="Calibri"/>
              </w:rPr>
            </w:pPr>
          </w:p>
          <w:p w14:paraId="34523384" w14:textId="77777777" w:rsidR="00AD7C94" w:rsidRPr="00445D22" w:rsidRDefault="00AD7C94" w:rsidP="009608D1">
            <w:pPr>
              <w:pStyle w:val="ListParagraph"/>
              <w:ind w:left="0"/>
              <w:jc w:val="both"/>
              <w:rPr>
                <w:rFonts w:ascii="Calibri" w:eastAsia="Montserrat" w:hAnsi="Calibri" w:cs="Calibri"/>
              </w:rPr>
            </w:pPr>
          </w:p>
          <w:p w14:paraId="508F1011"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tc>
      </w:tr>
      <w:tr w:rsidR="00171460" w:rsidRPr="00445D22" w14:paraId="4990426F" w14:textId="77777777" w:rsidTr="00ED769D">
        <w:tc>
          <w:tcPr>
            <w:tcW w:w="3292" w:type="dxa"/>
          </w:tcPr>
          <w:p w14:paraId="0709F358" w14:textId="77777777" w:rsidR="00171460" w:rsidRPr="00445D22" w:rsidRDefault="00060E19" w:rsidP="0010560D">
            <w:pPr>
              <w:rPr>
                <w:rFonts w:ascii="Calibri" w:hAnsi="Calibri" w:cs="Calibri"/>
                <w:sz w:val="24"/>
                <w:szCs w:val="24"/>
              </w:rPr>
            </w:pPr>
            <w:r w:rsidRPr="00445D22">
              <w:rPr>
                <w:rFonts w:ascii="Calibri" w:hAnsi="Calibri" w:cs="Calibri"/>
                <w:sz w:val="24"/>
                <w:szCs w:val="24"/>
              </w:rPr>
              <w:t>Implementa</w:t>
            </w:r>
            <w:r w:rsidR="00381EDC" w:rsidRPr="00445D22">
              <w:rPr>
                <w:rFonts w:ascii="Calibri" w:hAnsi="Calibri" w:cs="Calibri"/>
                <w:sz w:val="24"/>
                <w:szCs w:val="24"/>
              </w:rPr>
              <w:t xml:space="preserve">do </w:t>
            </w:r>
            <w:r w:rsidRPr="00445D22">
              <w:rPr>
                <w:rFonts w:ascii="Calibri" w:hAnsi="Calibri" w:cs="Calibri"/>
                <w:sz w:val="24"/>
                <w:szCs w:val="24"/>
              </w:rPr>
              <w:t>el Módulo de Formación y Desarrollo Profesional en materia de Adquisiciones Públicas.</w:t>
            </w:r>
          </w:p>
        </w:tc>
        <w:tc>
          <w:tcPr>
            <w:tcW w:w="2552" w:type="dxa"/>
          </w:tcPr>
          <w:p w14:paraId="23C93CA7" w14:textId="77777777" w:rsidR="00897860" w:rsidRPr="00445D22" w:rsidRDefault="00897860" w:rsidP="00897860">
            <w:pPr>
              <w:pStyle w:val="ListParagraph"/>
              <w:ind w:left="0"/>
              <w:jc w:val="center"/>
              <w:rPr>
                <w:rFonts w:ascii="Calibri" w:eastAsia="Montserrat" w:hAnsi="Calibri" w:cs="Calibri"/>
              </w:rPr>
            </w:pPr>
          </w:p>
          <w:p w14:paraId="7A28A9A8" w14:textId="77777777" w:rsidR="00171460"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1 Módulo</w:t>
            </w:r>
          </w:p>
        </w:tc>
        <w:tc>
          <w:tcPr>
            <w:tcW w:w="2648" w:type="dxa"/>
          </w:tcPr>
          <w:p w14:paraId="05018DD1" w14:textId="77777777" w:rsidR="00171460" w:rsidRPr="00445D22" w:rsidRDefault="00171460" w:rsidP="009608D1">
            <w:pPr>
              <w:pStyle w:val="ListParagraph"/>
              <w:ind w:left="0"/>
              <w:jc w:val="both"/>
              <w:rPr>
                <w:rFonts w:ascii="Calibri" w:eastAsia="Montserrat" w:hAnsi="Calibri" w:cs="Calibri"/>
              </w:rPr>
            </w:pPr>
          </w:p>
          <w:p w14:paraId="27AA411A" w14:textId="1099CC5D" w:rsidR="00AD7C94" w:rsidRPr="00445D22" w:rsidRDefault="00026A2D" w:rsidP="00026A2D">
            <w:pPr>
              <w:pStyle w:val="ListParagraph"/>
              <w:ind w:left="0"/>
              <w:jc w:val="center"/>
              <w:rPr>
                <w:rFonts w:ascii="Calibri" w:eastAsia="Montserrat" w:hAnsi="Calibri" w:cs="Calibri"/>
              </w:rPr>
            </w:pPr>
            <w:r w:rsidRPr="00826289">
              <w:rPr>
                <w:rFonts w:ascii="Calibri" w:eastAsia="Montserrat" w:hAnsi="Calibri" w:cs="Calibri"/>
              </w:rPr>
              <w:t xml:space="preserve">19,029 </w:t>
            </w:r>
            <w:r w:rsidR="00AD7C94" w:rsidRPr="00826289">
              <w:rPr>
                <w:rFonts w:ascii="Calibri" w:eastAsia="Montserrat" w:hAnsi="Calibri" w:cs="Calibri"/>
              </w:rPr>
              <w:t>personas capacitadas</w:t>
            </w:r>
          </w:p>
        </w:tc>
      </w:tr>
      <w:tr w:rsidR="00060E19" w:rsidRPr="00445D22" w14:paraId="64DD6616" w14:textId="77777777" w:rsidTr="00ED769D">
        <w:tc>
          <w:tcPr>
            <w:tcW w:w="3292" w:type="dxa"/>
          </w:tcPr>
          <w:p w14:paraId="3E517ACF" w14:textId="77777777" w:rsidR="00060E19" w:rsidRPr="00445D22" w:rsidRDefault="00381EDC" w:rsidP="0010560D">
            <w:pPr>
              <w:rPr>
                <w:rFonts w:ascii="Calibri" w:hAnsi="Calibri" w:cs="Calibri"/>
                <w:sz w:val="24"/>
                <w:szCs w:val="24"/>
              </w:rPr>
            </w:pPr>
            <w:r w:rsidRPr="00445D22">
              <w:rPr>
                <w:rFonts w:ascii="Calibri" w:hAnsi="Calibri" w:cs="Calibri"/>
                <w:sz w:val="24"/>
                <w:szCs w:val="24"/>
              </w:rPr>
              <w:t xml:space="preserve">Elaborado el </w:t>
            </w:r>
            <w:r w:rsidR="00060E19" w:rsidRPr="00445D22">
              <w:rPr>
                <w:rFonts w:ascii="Calibri" w:hAnsi="Calibri" w:cs="Calibri"/>
                <w:sz w:val="24"/>
                <w:szCs w:val="24"/>
              </w:rPr>
              <w:t>Módulo de cobro de energía eléctrica municipal disponible para los gobiernos locales.</w:t>
            </w:r>
          </w:p>
        </w:tc>
        <w:tc>
          <w:tcPr>
            <w:tcW w:w="2552" w:type="dxa"/>
          </w:tcPr>
          <w:p w14:paraId="56E132E9" w14:textId="77777777" w:rsidR="00897860" w:rsidRPr="00445D22" w:rsidRDefault="00897860" w:rsidP="00897860">
            <w:pPr>
              <w:pStyle w:val="ListParagraph"/>
              <w:ind w:left="0"/>
              <w:jc w:val="center"/>
              <w:rPr>
                <w:rFonts w:ascii="Calibri" w:eastAsia="Montserrat" w:hAnsi="Calibri" w:cs="Calibri"/>
              </w:rPr>
            </w:pPr>
          </w:p>
          <w:p w14:paraId="186AFB13" w14:textId="77777777" w:rsidR="00060E19"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1 Módulo</w:t>
            </w:r>
          </w:p>
        </w:tc>
        <w:tc>
          <w:tcPr>
            <w:tcW w:w="2648" w:type="dxa"/>
          </w:tcPr>
          <w:p w14:paraId="5B2EC6FE" w14:textId="77777777" w:rsidR="00060E19" w:rsidRPr="00445D22" w:rsidRDefault="00060E19" w:rsidP="009608D1">
            <w:pPr>
              <w:pStyle w:val="ListParagraph"/>
              <w:ind w:left="0"/>
              <w:jc w:val="both"/>
              <w:rPr>
                <w:rFonts w:ascii="Calibri" w:eastAsia="Montserrat" w:hAnsi="Calibri" w:cs="Calibri"/>
              </w:rPr>
            </w:pPr>
          </w:p>
          <w:p w14:paraId="2C94D5DE"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tc>
      </w:tr>
      <w:tr w:rsidR="00060E19" w:rsidRPr="00445D22" w14:paraId="58809717" w14:textId="77777777" w:rsidTr="00ED769D">
        <w:tc>
          <w:tcPr>
            <w:tcW w:w="3292" w:type="dxa"/>
          </w:tcPr>
          <w:p w14:paraId="1CA23BED" w14:textId="77777777" w:rsidR="00060E19" w:rsidRPr="00445D22" w:rsidRDefault="00060E19" w:rsidP="0010560D">
            <w:pPr>
              <w:rPr>
                <w:rFonts w:ascii="Calibri" w:hAnsi="Calibri" w:cs="Calibri"/>
                <w:sz w:val="24"/>
                <w:szCs w:val="24"/>
              </w:rPr>
            </w:pPr>
            <w:r w:rsidRPr="00445D22">
              <w:rPr>
                <w:rFonts w:ascii="Calibri" w:hAnsi="Calibri" w:cs="Calibri"/>
                <w:sz w:val="24"/>
                <w:szCs w:val="24"/>
              </w:rPr>
              <w:t xml:space="preserve">Recertificación de los  Sistemas de Gestión de Calidad bajo la norma ISO 9001:2015 y </w:t>
            </w:r>
            <w:r w:rsidR="00846D03" w:rsidRPr="00445D22">
              <w:rPr>
                <w:rFonts w:ascii="Calibri" w:hAnsi="Calibri" w:cs="Calibri"/>
                <w:sz w:val="24"/>
                <w:szCs w:val="24"/>
              </w:rPr>
              <w:t>Antisoborno norma ISO 37001:2016</w:t>
            </w:r>
          </w:p>
        </w:tc>
        <w:tc>
          <w:tcPr>
            <w:tcW w:w="2552" w:type="dxa"/>
          </w:tcPr>
          <w:p w14:paraId="16E1B616" w14:textId="77777777" w:rsidR="00897860" w:rsidRPr="00445D22" w:rsidRDefault="00897860" w:rsidP="00897860">
            <w:pPr>
              <w:pStyle w:val="ListParagraph"/>
              <w:ind w:left="0"/>
              <w:jc w:val="center"/>
              <w:rPr>
                <w:rFonts w:ascii="Calibri" w:eastAsia="Montserrat" w:hAnsi="Calibri" w:cs="Calibri"/>
              </w:rPr>
            </w:pPr>
          </w:p>
          <w:p w14:paraId="6C132C4D" w14:textId="77777777" w:rsidR="00060E19"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2 Sistemas</w:t>
            </w:r>
          </w:p>
        </w:tc>
        <w:tc>
          <w:tcPr>
            <w:tcW w:w="2648" w:type="dxa"/>
          </w:tcPr>
          <w:p w14:paraId="36977CA9" w14:textId="77777777" w:rsidR="00060E19" w:rsidRPr="00445D22" w:rsidRDefault="00060E19" w:rsidP="00026A2D">
            <w:pPr>
              <w:pStyle w:val="ListParagraph"/>
              <w:ind w:left="0"/>
              <w:jc w:val="center"/>
              <w:rPr>
                <w:rFonts w:ascii="Calibri" w:eastAsia="Montserrat" w:hAnsi="Calibri" w:cs="Calibri"/>
              </w:rPr>
            </w:pPr>
          </w:p>
          <w:p w14:paraId="6C962E71"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tc>
      </w:tr>
      <w:tr w:rsidR="00060E19" w:rsidRPr="00445D22" w14:paraId="2651FF82" w14:textId="77777777" w:rsidTr="00026A2D">
        <w:tc>
          <w:tcPr>
            <w:tcW w:w="3292" w:type="dxa"/>
          </w:tcPr>
          <w:p w14:paraId="583138E0" w14:textId="77777777" w:rsidR="00060E19" w:rsidRPr="00445D22" w:rsidRDefault="00846D03" w:rsidP="0010560D">
            <w:pPr>
              <w:rPr>
                <w:rFonts w:ascii="Calibri" w:hAnsi="Calibri" w:cs="Calibri"/>
                <w:sz w:val="24"/>
                <w:szCs w:val="24"/>
              </w:rPr>
            </w:pPr>
            <w:r w:rsidRPr="00445D22">
              <w:rPr>
                <w:rFonts w:ascii="Calibri" w:hAnsi="Calibri" w:cs="Calibri"/>
                <w:sz w:val="24"/>
                <w:szCs w:val="24"/>
              </w:rPr>
              <w:t>Formulado el Programa de Bonos de Carbono</w:t>
            </w:r>
            <w:r w:rsidR="004728FB" w:rsidRPr="00445D22">
              <w:rPr>
                <w:rFonts w:ascii="Calibri" w:hAnsi="Calibri" w:cs="Calibri"/>
                <w:sz w:val="24"/>
                <w:szCs w:val="24"/>
              </w:rPr>
              <w:t xml:space="preserve"> (Co2e) denominado “Programa de Reducción de Emisiones de Guatemala”</w:t>
            </w:r>
            <w:r w:rsidRPr="00445D22">
              <w:rPr>
                <w:rFonts w:ascii="Calibri" w:hAnsi="Calibri" w:cs="Calibri"/>
                <w:sz w:val="24"/>
                <w:szCs w:val="24"/>
              </w:rPr>
              <w:t>.</w:t>
            </w:r>
          </w:p>
        </w:tc>
        <w:tc>
          <w:tcPr>
            <w:tcW w:w="2552" w:type="dxa"/>
            <w:vAlign w:val="center"/>
          </w:tcPr>
          <w:p w14:paraId="735FDC50" w14:textId="77777777" w:rsidR="00060E19" w:rsidRPr="00445D22" w:rsidRDefault="00897860" w:rsidP="00026A2D">
            <w:pPr>
              <w:pStyle w:val="ListParagraph"/>
              <w:ind w:left="0"/>
              <w:jc w:val="center"/>
              <w:rPr>
                <w:rFonts w:ascii="Calibri" w:eastAsia="Montserrat" w:hAnsi="Calibri" w:cs="Calibri"/>
              </w:rPr>
            </w:pPr>
            <w:r w:rsidRPr="00445D22">
              <w:rPr>
                <w:rFonts w:ascii="Calibri" w:eastAsia="Montserrat" w:hAnsi="Calibri" w:cs="Calibri"/>
              </w:rPr>
              <w:t>1 Documento</w:t>
            </w:r>
          </w:p>
        </w:tc>
        <w:tc>
          <w:tcPr>
            <w:tcW w:w="2648" w:type="dxa"/>
            <w:vAlign w:val="center"/>
          </w:tcPr>
          <w:p w14:paraId="3F93DB54" w14:textId="77777777" w:rsidR="00060E19"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tc>
      </w:tr>
      <w:tr w:rsidR="00060E19" w:rsidRPr="00445D22" w14:paraId="336DF040" w14:textId="77777777" w:rsidTr="00026A2D">
        <w:tc>
          <w:tcPr>
            <w:tcW w:w="3292" w:type="dxa"/>
          </w:tcPr>
          <w:p w14:paraId="32C3D779" w14:textId="77777777" w:rsidR="00060E19" w:rsidRPr="00445D22" w:rsidRDefault="00846D03" w:rsidP="0010560D">
            <w:pPr>
              <w:rPr>
                <w:rFonts w:ascii="Calibri" w:hAnsi="Calibri" w:cs="Calibri"/>
                <w:sz w:val="24"/>
                <w:szCs w:val="24"/>
              </w:rPr>
            </w:pPr>
            <w:r w:rsidRPr="00445D22">
              <w:rPr>
                <w:rFonts w:ascii="Calibri" w:hAnsi="Calibri" w:cs="Calibri"/>
                <w:sz w:val="24"/>
                <w:szCs w:val="24"/>
              </w:rPr>
              <w:t>Asesoría y asistencia técnica para fortalecer la administración financiera municipal, en materia de finanzas públicas.</w:t>
            </w:r>
          </w:p>
        </w:tc>
        <w:tc>
          <w:tcPr>
            <w:tcW w:w="2552" w:type="dxa"/>
          </w:tcPr>
          <w:p w14:paraId="1E2E0E1B" w14:textId="77777777" w:rsidR="00897860" w:rsidRPr="00445D22" w:rsidRDefault="00897860" w:rsidP="00897860">
            <w:pPr>
              <w:pStyle w:val="ListParagraph"/>
              <w:ind w:left="0"/>
              <w:jc w:val="center"/>
              <w:rPr>
                <w:rFonts w:ascii="Calibri" w:eastAsia="Montserrat" w:hAnsi="Calibri" w:cs="Calibri"/>
              </w:rPr>
            </w:pPr>
          </w:p>
          <w:p w14:paraId="67DFF0C8" w14:textId="77777777" w:rsidR="00897860" w:rsidRPr="00445D22" w:rsidRDefault="00897860" w:rsidP="00897860">
            <w:pPr>
              <w:pStyle w:val="ListParagraph"/>
              <w:ind w:left="0"/>
              <w:jc w:val="center"/>
              <w:rPr>
                <w:rFonts w:ascii="Calibri" w:eastAsia="Montserrat" w:hAnsi="Calibri" w:cs="Calibri"/>
              </w:rPr>
            </w:pPr>
          </w:p>
          <w:p w14:paraId="152513BB" w14:textId="77777777" w:rsidR="00060E19" w:rsidRPr="00445D22" w:rsidRDefault="00897860" w:rsidP="00897860">
            <w:pPr>
              <w:pStyle w:val="ListParagraph"/>
              <w:ind w:left="0"/>
              <w:jc w:val="center"/>
              <w:rPr>
                <w:rFonts w:ascii="Calibri" w:eastAsia="Montserrat" w:hAnsi="Calibri" w:cs="Calibri"/>
              </w:rPr>
            </w:pPr>
            <w:r w:rsidRPr="00445D22">
              <w:rPr>
                <w:rFonts w:ascii="Calibri" w:eastAsia="Montserrat" w:hAnsi="Calibri" w:cs="Calibri"/>
              </w:rPr>
              <w:t>1 Documento</w:t>
            </w:r>
          </w:p>
        </w:tc>
        <w:tc>
          <w:tcPr>
            <w:tcW w:w="2648" w:type="dxa"/>
            <w:vAlign w:val="center"/>
          </w:tcPr>
          <w:p w14:paraId="4A72B610" w14:textId="77777777" w:rsidR="00060E19" w:rsidRPr="00445D22" w:rsidRDefault="00060E19" w:rsidP="00026A2D">
            <w:pPr>
              <w:pStyle w:val="ListParagraph"/>
              <w:ind w:left="0"/>
              <w:jc w:val="center"/>
              <w:rPr>
                <w:rFonts w:ascii="Calibri" w:eastAsia="Montserrat" w:hAnsi="Calibri" w:cs="Calibri"/>
              </w:rPr>
            </w:pPr>
          </w:p>
          <w:p w14:paraId="2DBF6871" w14:textId="77777777" w:rsidR="00AD7C94" w:rsidRPr="00445D22" w:rsidRDefault="00AD7C94" w:rsidP="00026A2D">
            <w:pPr>
              <w:pStyle w:val="ListParagraph"/>
              <w:ind w:left="0"/>
              <w:jc w:val="center"/>
              <w:rPr>
                <w:rFonts w:ascii="Calibri" w:eastAsia="Montserrat" w:hAnsi="Calibri" w:cs="Calibri"/>
              </w:rPr>
            </w:pPr>
          </w:p>
          <w:p w14:paraId="23168EB8"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340 municipalidades</w:t>
            </w:r>
          </w:p>
        </w:tc>
      </w:tr>
      <w:tr w:rsidR="00103FEA" w:rsidRPr="00445D22" w14:paraId="73DAAA07" w14:textId="77777777" w:rsidTr="00026A2D">
        <w:tc>
          <w:tcPr>
            <w:tcW w:w="3292" w:type="dxa"/>
          </w:tcPr>
          <w:p w14:paraId="1BA6A510" w14:textId="77777777" w:rsidR="000879F9" w:rsidRPr="00445D22" w:rsidRDefault="000879F9" w:rsidP="0010560D">
            <w:pPr>
              <w:rPr>
                <w:rFonts w:ascii="Calibri" w:hAnsi="Calibri" w:cs="Calibri"/>
                <w:sz w:val="24"/>
                <w:szCs w:val="24"/>
              </w:rPr>
            </w:pPr>
            <w:r w:rsidRPr="00445D22">
              <w:rPr>
                <w:rFonts w:ascii="Calibri" w:hAnsi="Calibri" w:cs="Calibri"/>
                <w:sz w:val="24"/>
                <w:szCs w:val="24"/>
              </w:rPr>
              <w:t xml:space="preserve">El Ministerio de Finanzas Publicas elaboró la iniciativa de ley número 5459: “Ley para la </w:t>
            </w:r>
            <w:r w:rsidRPr="00445D22">
              <w:rPr>
                <w:rFonts w:ascii="Calibri" w:hAnsi="Calibri" w:cs="Calibri"/>
                <w:sz w:val="24"/>
                <w:szCs w:val="24"/>
              </w:rPr>
              <w:lastRenderedPageBreak/>
              <w:t>Liquidación de Fideicomisos Constituidos con Recursos Públicos” y  presentada a la Comisión de Transparencia y Probidad del Congreso de la República.</w:t>
            </w:r>
          </w:p>
          <w:p w14:paraId="63171A2C" w14:textId="77777777" w:rsidR="00103FEA" w:rsidRPr="00445D22" w:rsidRDefault="00103FEA" w:rsidP="0010560D">
            <w:pPr>
              <w:pStyle w:val="ListParagraph"/>
              <w:ind w:left="0"/>
              <w:rPr>
                <w:rFonts w:ascii="Calibri" w:eastAsia="Montserrat" w:hAnsi="Calibri" w:cs="Calibri"/>
              </w:rPr>
            </w:pPr>
          </w:p>
        </w:tc>
        <w:tc>
          <w:tcPr>
            <w:tcW w:w="2552" w:type="dxa"/>
            <w:vAlign w:val="center"/>
          </w:tcPr>
          <w:p w14:paraId="0853EF24" w14:textId="77777777" w:rsidR="00103FEA" w:rsidRPr="00445D22" w:rsidRDefault="00897860" w:rsidP="00026A2D">
            <w:pPr>
              <w:pStyle w:val="ListParagraph"/>
              <w:ind w:left="0"/>
              <w:jc w:val="center"/>
              <w:rPr>
                <w:rFonts w:ascii="Calibri" w:eastAsia="Montserrat" w:hAnsi="Calibri" w:cs="Calibri"/>
              </w:rPr>
            </w:pPr>
            <w:r w:rsidRPr="00445D22">
              <w:rPr>
                <w:rFonts w:ascii="Calibri" w:eastAsia="Montserrat" w:hAnsi="Calibri" w:cs="Calibri"/>
              </w:rPr>
              <w:lastRenderedPageBreak/>
              <w:t>1 Documento</w:t>
            </w:r>
          </w:p>
        </w:tc>
        <w:tc>
          <w:tcPr>
            <w:tcW w:w="2648" w:type="dxa"/>
            <w:vAlign w:val="center"/>
          </w:tcPr>
          <w:p w14:paraId="1709F3CC" w14:textId="77777777" w:rsidR="00AD7C94" w:rsidRPr="00445D22" w:rsidRDefault="00AD7C94" w:rsidP="00026A2D">
            <w:pPr>
              <w:pStyle w:val="ListParagraph"/>
              <w:ind w:left="0"/>
              <w:jc w:val="center"/>
              <w:rPr>
                <w:rFonts w:ascii="Calibri" w:eastAsia="Montserrat" w:hAnsi="Calibri" w:cs="Calibri"/>
              </w:rPr>
            </w:pPr>
            <w:r w:rsidRPr="00445D22">
              <w:rPr>
                <w:rFonts w:ascii="Calibri" w:eastAsia="Montserrat" w:hAnsi="Calibri" w:cs="Calibri"/>
              </w:rPr>
              <w:t>No aplica</w:t>
            </w:r>
          </w:p>
        </w:tc>
      </w:tr>
    </w:tbl>
    <w:p w14:paraId="26B9D557" w14:textId="77777777" w:rsidR="00171460" w:rsidRPr="00445D22" w:rsidRDefault="00171460" w:rsidP="00171460">
      <w:pPr>
        <w:jc w:val="both"/>
        <w:rPr>
          <w:rFonts w:ascii="Calibri" w:eastAsia="Montserrat" w:hAnsi="Calibri" w:cs="Calibri"/>
          <w:sz w:val="18"/>
        </w:rPr>
      </w:pPr>
      <w:r w:rsidRPr="00445D22">
        <w:rPr>
          <w:rFonts w:ascii="Calibri" w:eastAsia="Montserrat" w:hAnsi="Calibri" w:cs="Calibri"/>
          <w:b/>
          <w:bCs/>
          <w:sz w:val="18"/>
        </w:rPr>
        <w:t xml:space="preserve">       Fuente:</w:t>
      </w:r>
      <w:r w:rsidR="00BE08D8" w:rsidRPr="00445D22">
        <w:rPr>
          <w:rFonts w:ascii="Calibri" w:eastAsia="Montserrat" w:hAnsi="Calibri" w:cs="Calibri"/>
          <w:sz w:val="18"/>
        </w:rPr>
        <w:t xml:space="preserve"> Diplandi. MINFIN 2021</w:t>
      </w:r>
    </w:p>
    <w:p w14:paraId="423A3BC1" w14:textId="77777777" w:rsidR="007D16ED" w:rsidRPr="00445D22" w:rsidRDefault="007D16ED" w:rsidP="00DE514D">
      <w:pPr>
        <w:pStyle w:val="ListParagraph"/>
        <w:ind w:left="709"/>
        <w:jc w:val="both"/>
        <w:rPr>
          <w:rFonts w:ascii="Calibri" w:eastAsia="Calibri" w:hAnsi="Calibri" w:cs="Calibri"/>
          <w:sz w:val="24"/>
          <w:szCs w:val="24"/>
        </w:rPr>
      </w:pPr>
    </w:p>
    <w:p w14:paraId="4F132A16" w14:textId="6E5574CB" w:rsidR="00747984" w:rsidRPr="008E611B" w:rsidRDefault="00992EE6" w:rsidP="00B91400">
      <w:pPr>
        <w:pStyle w:val="ListParagraph"/>
        <w:shd w:val="clear" w:color="auto" w:fill="95B3D7" w:themeFill="accent1" w:themeFillTint="99"/>
        <w:spacing w:after="0" w:line="240" w:lineRule="auto"/>
        <w:ind w:left="0"/>
        <w:rPr>
          <w:rFonts w:ascii="Calibri" w:hAnsi="Calibri" w:cs="Calibri"/>
          <w:b/>
          <w:color w:val="17365D" w:themeColor="text2" w:themeShade="BF"/>
          <w:sz w:val="32"/>
          <w:szCs w:val="32"/>
        </w:rPr>
      </w:pPr>
      <w:r>
        <w:rPr>
          <w:rFonts w:ascii="Calibri" w:hAnsi="Calibri" w:cs="Calibri"/>
          <w:b/>
          <w:color w:val="17365D" w:themeColor="text2" w:themeShade="BF"/>
          <w:sz w:val="32"/>
          <w:szCs w:val="32"/>
        </w:rPr>
        <w:t xml:space="preserve"> </w:t>
      </w:r>
      <w:r w:rsidR="007D66C5" w:rsidRPr="008E611B">
        <w:rPr>
          <w:rFonts w:ascii="Calibri" w:hAnsi="Calibri" w:cs="Calibri"/>
          <w:b/>
          <w:color w:val="17365D" w:themeColor="text2" w:themeShade="BF"/>
          <w:sz w:val="32"/>
          <w:szCs w:val="32"/>
        </w:rPr>
        <w:t>CONCLUSIONES</w:t>
      </w:r>
    </w:p>
    <w:p w14:paraId="2D427911" w14:textId="77777777" w:rsidR="00002692" w:rsidRPr="00445D22" w:rsidRDefault="00002692" w:rsidP="00002692">
      <w:pPr>
        <w:pStyle w:val="Default"/>
        <w:ind w:left="1134"/>
        <w:jc w:val="both"/>
        <w:rPr>
          <w:color w:val="365F91" w:themeColor="accent1" w:themeShade="BF"/>
        </w:rPr>
      </w:pPr>
    </w:p>
    <w:p w14:paraId="6A2B4A4E" w14:textId="77777777" w:rsidR="00F40BBE" w:rsidRPr="00445D22" w:rsidRDefault="00F40BBE" w:rsidP="00396164">
      <w:pPr>
        <w:pStyle w:val="Default"/>
        <w:numPr>
          <w:ilvl w:val="0"/>
          <w:numId w:val="1"/>
        </w:numPr>
        <w:spacing w:after="171"/>
        <w:jc w:val="both"/>
        <w:rPr>
          <w:rFonts w:eastAsia="Times New Roman"/>
          <w:b/>
          <w:lang w:eastAsia="es-GT"/>
        </w:rPr>
      </w:pPr>
      <w:r w:rsidRPr="00445D22">
        <w:rPr>
          <w:rFonts w:eastAsia="Times New Roman"/>
          <w:b/>
          <w:lang w:eastAsia="es-GT"/>
        </w:rPr>
        <w:t>Tendencias observadas en la ejecución presupuestaria.</w:t>
      </w:r>
    </w:p>
    <w:p w14:paraId="19CE76F8" w14:textId="77777777" w:rsidR="00223045" w:rsidRPr="00445D22" w:rsidRDefault="00223045" w:rsidP="00396164">
      <w:pPr>
        <w:pStyle w:val="Default"/>
        <w:numPr>
          <w:ilvl w:val="0"/>
          <w:numId w:val="10"/>
        </w:numPr>
        <w:spacing w:after="167"/>
        <w:jc w:val="both"/>
        <w:rPr>
          <w:color w:val="auto"/>
        </w:rPr>
      </w:pPr>
      <w:r w:rsidRPr="00445D22">
        <w:rPr>
          <w:color w:val="auto"/>
        </w:rPr>
        <w:t>De acuerdo a los registros del Sistema de Contabilidad Integrada –SICOIN-, al cierre del 30 de noviembre de 2021 se ha ejecutado el 76 % del presupuesto vigente y se estima que para el cierre fiscal</w:t>
      </w:r>
      <w:r w:rsidR="00026A2D" w:rsidRPr="00445D22">
        <w:rPr>
          <w:color w:val="auto"/>
        </w:rPr>
        <w:t>,</w:t>
      </w:r>
      <w:r w:rsidRPr="00445D22">
        <w:rPr>
          <w:color w:val="auto"/>
        </w:rPr>
        <w:t xml:space="preserve"> se incremente debido al pago de salarios, honorarios, compras de bienes y servicios que se encuentran en proceso para finales del presente año. Derivado </w:t>
      </w:r>
      <w:r w:rsidR="00350340" w:rsidRPr="00445D22">
        <w:rPr>
          <w:color w:val="auto"/>
        </w:rPr>
        <w:t xml:space="preserve">a </w:t>
      </w:r>
      <w:r w:rsidRPr="00445D22">
        <w:rPr>
          <w:color w:val="auto"/>
        </w:rPr>
        <w:t xml:space="preserve">que las dependencias del </w:t>
      </w:r>
      <w:r w:rsidR="00350340" w:rsidRPr="00445D22">
        <w:rPr>
          <w:color w:val="auto"/>
        </w:rPr>
        <w:t xml:space="preserve">MINFIN están </w:t>
      </w:r>
      <w:r w:rsidRPr="00445D22">
        <w:rPr>
          <w:color w:val="auto"/>
        </w:rPr>
        <w:t xml:space="preserve">atendiendo a las disposiciones sanitarias decretadas por el Gobierno Central, </w:t>
      </w:r>
      <w:r w:rsidR="00026A2D" w:rsidRPr="00445D22">
        <w:rPr>
          <w:color w:val="auto"/>
        </w:rPr>
        <w:t xml:space="preserve">se </w:t>
      </w:r>
      <w:r w:rsidRPr="00445D22">
        <w:rPr>
          <w:color w:val="auto"/>
        </w:rPr>
        <w:t>han programado la adquisición estrictamente necesaria de bienes y servicios</w:t>
      </w:r>
      <w:r w:rsidR="00026A2D" w:rsidRPr="00445D22">
        <w:rPr>
          <w:color w:val="auto"/>
        </w:rPr>
        <w:t>,</w:t>
      </w:r>
      <w:r w:rsidRPr="00445D22">
        <w:rPr>
          <w:color w:val="auto"/>
        </w:rPr>
        <w:t xml:space="preserve"> lo que </w:t>
      </w:r>
      <w:r w:rsidR="00026A2D" w:rsidRPr="00445D22">
        <w:rPr>
          <w:color w:val="auto"/>
        </w:rPr>
        <w:t>incidirá</w:t>
      </w:r>
      <w:r w:rsidRPr="00445D22">
        <w:rPr>
          <w:color w:val="auto"/>
        </w:rPr>
        <w:t xml:space="preserve"> </w:t>
      </w:r>
      <w:r w:rsidR="00026A2D" w:rsidRPr="00445D22">
        <w:rPr>
          <w:color w:val="auto"/>
        </w:rPr>
        <w:t>en el</w:t>
      </w:r>
      <w:r w:rsidRPr="00445D22">
        <w:rPr>
          <w:color w:val="auto"/>
        </w:rPr>
        <w:t xml:space="preserve"> porcentaje de ejecución.</w:t>
      </w:r>
    </w:p>
    <w:p w14:paraId="20B6B966" w14:textId="77777777" w:rsidR="00223045" w:rsidRPr="00445D22" w:rsidRDefault="00223045" w:rsidP="00396164">
      <w:pPr>
        <w:pStyle w:val="Default"/>
        <w:numPr>
          <w:ilvl w:val="0"/>
          <w:numId w:val="10"/>
        </w:numPr>
        <w:spacing w:after="167"/>
        <w:jc w:val="both"/>
        <w:rPr>
          <w:color w:val="auto"/>
        </w:rPr>
      </w:pPr>
      <w:r w:rsidRPr="00445D22">
        <w:rPr>
          <w:color w:val="auto"/>
        </w:rPr>
        <w:t xml:space="preserve">El </w:t>
      </w:r>
      <w:r w:rsidR="00026A2D" w:rsidRPr="00445D22">
        <w:rPr>
          <w:color w:val="auto"/>
        </w:rPr>
        <w:t>MINFIN</w:t>
      </w:r>
      <w:r w:rsidRPr="00445D22">
        <w:rPr>
          <w:color w:val="auto"/>
        </w:rPr>
        <w:t xml:space="preserve"> desempeña un rol de apoyo a las diferentes instituciones de Gobierno, por lo que dentro de su funcionamiento se ejecuta un alto porcentaje en </w:t>
      </w:r>
      <w:r w:rsidR="00AC0FFF" w:rsidRPr="00445D22">
        <w:rPr>
          <w:color w:val="auto"/>
        </w:rPr>
        <w:t xml:space="preserve">el </w:t>
      </w:r>
      <w:r w:rsidRPr="00445D22">
        <w:rPr>
          <w:color w:val="auto"/>
        </w:rPr>
        <w:t xml:space="preserve">pago de remuneraciones al personal;  pago de servicios básicos; compras de bienes y servicios de cada una de las </w:t>
      </w:r>
      <w:r w:rsidR="00AC0FFF" w:rsidRPr="00445D22">
        <w:rPr>
          <w:color w:val="auto"/>
        </w:rPr>
        <w:t>dependencias</w:t>
      </w:r>
      <w:r w:rsidRPr="00445D22">
        <w:rPr>
          <w:color w:val="auto"/>
        </w:rPr>
        <w:t xml:space="preserve">; pagos </w:t>
      </w:r>
      <w:r w:rsidR="00AC0FFF" w:rsidRPr="00445D22">
        <w:rPr>
          <w:color w:val="auto"/>
        </w:rPr>
        <w:t xml:space="preserve">por </w:t>
      </w:r>
      <w:r w:rsidRPr="00445D22">
        <w:rPr>
          <w:color w:val="auto"/>
        </w:rPr>
        <w:t xml:space="preserve">el respaldo y soporte que se brinda a las entidades públicas a nivel nacional, a través de los diferentes sistemas informáticos (SICOIN, SIGES, GUATECOMPRAS, GUATENÓMINAS </w:t>
      </w:r>
      <w:r w:rsidR="0078704D" w:rsidRPr="00445D22">
        <w:rPr>
          <w:color w:val="auto"/>
        </w:rPr>
        <w:t>etc</w:t>
      </w:r>
      <w:r w:rsidRPr="00445D22">
        <w:rPr>
          <w:color w:val="auto"/>
        </w:rPr>
        <w:t>.)</w:t>
      </w:r>
      <w:r w:rsidR="00AC0FFF" w:rsidRPr="00445D22">
        <w:rPr>
          <w:color w:val="auto"/>
        </w:rPr>
        <w:t xml:space="preserve"> y</w:t>
      </w:r>
      <w:r w:rsidRPr="00445D22">
        <w:rPr>
          <w:color w:val="auto"/>
        </w:rPr>
        <w:t xml:space="preserve">  adquisición de equipamiento indispensable dentro de las dependencias. </w:t>
      </w:r>
    </w:p>
    <w:p w14:paraId="1CF34577" w14:textId="77777777" w:rsidR="007A7E71" w:rsidRPr="00445D22" w:rsidRDefault="007A7E71" w:rsidP="00350340">
      <w:pPr>
        <w:pStyle w:val="Default"/>
        <w:numPr>
          <w:ilvl w:val="0"/>
          <w:numId w:val="12"/>
        </w:numPr>
        <w:spacing w:after="167"/>
        <w:jc w:val="both"/>
        <w:rPr>
          <w:color w:val="auto"/>
        </w:rPr>
      </w:pPr>
      <w:r w:rsidRPr="00445D22">
        <w:rPr>
          <w:color w:val="auto"/>
        </w:rPr>
        <w:t xml:space="preserve">En relación al eje de Estado responsable, transparente y efectivo de la Política  General de Gobierno, </w:t>
      </w:r>
      <w:r w:rsidR="0042231E" w:rsidRPr="00445D22">
        <w:rPr>
          <w:color w:val="auto"/>
        </w:rPr>
        <w:t>se dio c</w:t>
      </w:r>
      <w:r w:rsidRPr="00445D22">
        <w:rPr>
          <w:color w:val="auto"/>
        </w:rPr>
        <w:t xml:space="preserve">umplimiento </w:t>
      </w:r>
      <w:r w:rsidR="0042231E" w:rsidRPr="00445D22">
        <w:rPr>
          <w:color w:val="auto"/>
        </w:rPr>
        <w:t xml:space="preserve">con </w:t>
      </w:r>
      <w:r w:rsidRPr="00445D22">
        <w:rPr>
          <w:color w:val="auto"/>
        </w:rPr>
        <w:t>la entrega del primer Informe de Ejecución del Presupuesto General de Ingresos y Egresos d</w:t>
      </w:r>
      <w:r w:rsidR="0042231E" w:rsidRPr="00445D22">
        <w:rPr>
          <w:color w:val="auto"/>
        </w:rPr>
        <w:t xml:space="preserve">el Estado (Primer Cuatrimestre); en igual forma con la </w:t>
      </w:r>
      <w:r w:rsidRPr="00445D22">
        <w:rPr>
          <w:color w:val="auto"/>
        </w:rPr>
        <w:t>entrega del segundo Informe de Ejecución del Presupuesto General de Ingresos y Egresos del Estado (Segundo Cuatrimestre).</w:t>
      </w:r>
    </w:p>
    <w:p w14:paraId="3BBC9DAE" w14:textId="77777777" w:rsidR="007A7E71" w:rsidRPr="00445D22" w:rsidRDefault="0042231E" w:rsidP="00350340">
      <w:pPr>
        <w:pStyle w:val="Default"/>
        <w:numPr>
          <w:ilvl w:val="0"/>
          <w:numId w:val="12"/>
        </w:numPr>
        <w:spacing w:after="167"/>
        <w:jc w:val="both"/>
        <w:rPr>
          <w:color w:val="auto"/>
        </w:rPr>
      </w:pPr>
      <w:r w:rsidRPr="00445D22">
        <w:rPr>
          <w:color w:val="auto"/>
        </w:rPr>
        <w:t>Implementado los términos de usab</w:t>
      </w:r>
      <w:r w:rsidR="007A7E71" w:rsidRPr="00445D22">
        <w:rPr>
          <w:color w:val="auto"/>
        </w:rPr>
        <w:t>ilidad y responsabili</w:t>
      </w:r>
      <w:r w:rsidRPr="00445D22">
        <w:rPr>
          <w:color w:val="auto"/>
        </w:rPr>
        <w:t xml:space="preserve">dad del Sistema de Guatenóminas, así mismo, mejoras al </w:t>
      </w:r>
      <w:r w:rsidR="007A7E71" w:rsidRPr="00445D22">
        <w:rPr>
          <w:color w:val="auto"/>
        </w:rPr>
        <w:t>módulo del renglón 029 - Otras remuneraciones de personal temporal.</w:t>
      </w:r>
    </w:p>
    <w:p w14:paraId="4DF9DF92" w14:textId="66FC94BE" w:rsidR="00F40BBE" w:rsidRPr="00445D22" w:rsidRDefault="00F40BBE" w:rsidP="00396164">
      <w:pPr>
        <w:pStyle w:val="Default"/>
        <w:numPr>
          <w:ilvl w:val="0"/>
          <w:numId w:val="1"/>
        </w:numPr>
        <w:spacing w:after="171"/>
        <w:jc w:val="both"/>
        <w:rPr>
          <w:rFonts w:eastAsia="Times New Roman"/>
          <w:b/>
          <w:lang w:eastAsia="es-GT"/>
        </w:rPr>
      </w:pPr>
      <w:r w:rsidRPr="00445D22">
        <w:rPr>
          <w:rFonts w:eastAsia="Times New Roman"/>
          <w:b/>
          <w:lang w:eastAsia="es-GT"/>
        </w:rPr>
        <w:lastRenderedPageBreak/>
        <w:t>Resultados de corto y mediano plazo alcanzados en el marco de la Política General</w:t>
      </w:r>
      <w:r w:rsidR="0041110B">
        <w:rPr>
          <w:rFonts w:eastAsia="Times New Roman"/>
          <w:b/>
          <w:lang w:eastAsia="es-GT"/>
        </w:rPr>
        <w:t xml:space="preserve">    </w:t>
      </w:r>
      <w:r w:rsidRPr="00445D22">
        <w:rPr>
          <w:rFonts w:eastAsia="Times New Roman"/>
          <w:b/>
          <w:lang w:eastAsia="es-GT"/>
        </w:rPr>
        <w:t>de Gobierno.</w:t>
      </w:r>
    </w:p>
    <w:p w14:paraId="0602C932" w14:textId="77777777" w:rsidR="00F40BBE" w:rsidRPr="00445D22" w:rsidRDefault="009F4D7B" w:rsidP="00396164">
      <w:pPr>
        <w:pStyle w:val="Default"/>
        <w:numPr>
          <w:ilvl w:val="0"/>
          <w:numId w:val="7"/>
        </w:numPr>
        <w:spacing w:after="171"/>
        <w:jc w:val="both"/>
        <w:rPr>
          <w:rFonts w:eastAsia="Times New Roman"/>
          <w:lang w:eastAsia="es-GT"/>
        </w:rPr>
      </w:pPr>
      <w:r w:rsidRPr="00445D22">
        <w:rPr>
          <w:rFonts w:eastAsia="Times New Roman"/>
          <w:lang w:eastAsia="es-GT"/>
        </w:rPr>
        <w:t xml:space="preserve">Finalizado el </w:t>
      </w:r>
      <w:r w:rsidR="00F40BBE" w:rsidRPr="00445D22">
        <w:rPr>
          <w:rFonts w:eastAsia="Times New Roman"/>
          <w:lang w:eastAsia="es-GT"/>
        </w:rPr>
        <w:t>plan piloto del Fondo Rotativo Institucional con Tarjeta de Compras Institucional, en el cual se incorporaron todas las Unidades Ejecutoras del Ministerio de Finanzas Públicas a la nueva modalidad de pago.</w:t>
      </w:r>
    </w:p>
    <w:p w14:paraId="33ED3EE2" w14:textId="77777777" w:rsidR="00F40BBE" w:rsidRPr="00445D22" w:rsidRDefault="009F4D7B" w:rsidP="00396164">
      <w:pPr>
        <w:pStyle w:val="Default"/>
        <w:numPr>
          <w:ilvl w:val="0"/>
          <w:numId w:val="7"/>
        </w:numPr>
        <w:spacing w:after="171"/>
        <w:jc w:val="both"/>
        <w:rPr>
          <w:rFonts w:eastAsia="Times New Roman"/>
          <w:lang w:eastAsia="es-GT"/>
        </w:rPr>
      </w:pPr>
      <w:r w:rsidRPr="00445D22">
        <w:rPr>
          <w:rFonts w:eastAsia="Times New Roman"/>
          <w:lang w:eastAsia="es-GT"/>
        </w:rPr>
        <w:t xml:space="preserve">Implementado </w:t>
      </w:r>
      <w:r w:rsidR="00F40BBE" w:rsidRPr="00445D22">
        <w:rPr>
          <w:rFonts w:eastAsia="Times New Roman"/>
          <w:lang w:eastAsia="es-GT"/>
        </w:rPr>
        <w:t>el Informe de Disponibilidad de Caja y Demanda de Pagos, que permitirá contar con información oportuna</w:t>
      </w:r>
      <w:r w:rsidR="00E51417" w:rsidRPr="00445D22">
        <w:rPr>
          <w:rFonts w:eastAsia="Times New Roman"/>
          <w:lang w:eastAsia="es-GT"/>
        </w:rPr>
        <w:t>,</w:t>
      </w:r>
      <w:r w:rsidR="00F40BBE" w:rsidRPr="00445D22">
        <w:rPr>
          <w:rFonts w:eastAsia="Times New Roman"/>
          <w:lang w:eastAsia="es-GT"/>
        </w:rPr>
        <w:t xml:space="preserve"> </w:t>
      </w:r>
      <w:r w:rsidRPr="00445D22">
        <w:rPr>
          <w:rFonts w:eastAsia="Times New Roman"/>
          <w:lang w:eastAsia="es-GT"/>
        </w:rPr>
        <w:t xml:space="preserve">sobre la </w:t>
      </w:r>
      <w:r w:rsidR="00F40BBE" w:rsidRPr="00445D22">
        <w:rPr>
          <w:rFonts w:eastAsia="Times New Roman"/>
          <w:lang w:eastAsia="es-GT"/>
        </w:rPr>
        <w:t>disponibilidad de</w:t>
      </w:r>
      <w:r w:rsidR="0078704D" w:rsidRPr="00445D22">
        <w:rPr>
          <w:rFonts w:eastAsia="Times New Roman"/>
          <w:lang w:eastAsia="es-GT"/>
        </w:rPr>
        <w:t xml:space="preserve"> los recursos con que se cuenta</w:t>
      </w:r>
      <w:r w:rsidR="00F40BBE" w:rsidRPr="00445D22">
        <w:rPr>
          <w:rFonts w:eastAsia="Times New Roman"/>
          <w:lang w:eastAsia="es-GT"/>
        </w:rPr>
        <w:t xml:space="preserve"> a primera hora del día</w:t>
      </w:r>
      <w:r w:rsidR="00E51417" w:rsidRPr="00445D22">
        <w:rPr>
          <w:rFonts w:eastAsia="Times New Roman"/>
          <w:lang w:eastAsia="es-GT"/>
        </w:rPr>
        <w:t>,</w:t>
      </w:r>
      <w:r w:rsidR="00F40BBE" w:rsidRPr="00445D22">
        <w:rPr>
          <w:rFonts w:eastAsia="Times New Roman"/>
          <w:lang w:eastAsia="es-GT"/>
        </w:rPr>
        <w:t xml:space="preserve"> para la toma de decisiones, respecto a la gestión ante la Contraloría General de Cuentas de la solicitud de Visa Global de Fondos.</w:t>
      </w:r>
    </w:p>
    <w:p w14:paraId="2F923507" w14:textId="77777777" w:rsidR="00F40BBE" w:rsidRPr="00445D22" w:rsidRDefault="00B77517" w:rsidP="00396164">
      <w:pPr>
        <w:pStyle w:val="Default"/>
        <w:numPr>
          <w:ilvl w:val="0"/>
          <w:numId w:val="7"/>
        </w:numPr>
        <w:spacing w:after="171"/>
        <w:jc w:val="both"/>
        <w:rPr>
          <w:rFonts w:eastAsia="Times New Roman"/>
          <w:lang w:eastAsia="es-GT"/>
        </w:rPr>
      </w:pPr>
      <w:r w:rsidRPr="00445D22">
        <w:rPr>
          <w:rFonts w:eastAsia="Times New Roman"/>
          <w:lang w:eastAsia="es-GT"/>
        </w:rPr>
        <w:t xml:space="preserve">Finalizada la </w:t>
      </w:r>
      <w:r w:rsidR="00F40BBE" w:rsidRPr="00445D22">
        <w:rPr>
          <w:rFonts w:eastAsia="Times New Roman"/>
          <w:lang w:eastAsia="es-GT"/>
        </w:rPr>
        <w:t>implementación de la notificación automática de pagos</w:t>
      </w:r>
      <w:r w:rsidR="00E51417" w:rsidRPr="00445D22">
        <w:rPr>
          <w:rFonts w:eastAsia="Times New Roman"/>
          <w:lang w:eastAsia="es-GT"/>
        </w:rPr>
        <w:t>,</w:t>
      </w:r>
      <w:r w:rsidR="00F40BBE" w:rsidRPr="00445D22">
        <w:rPr>
          <w:rFonts w:eastAsia="Times New Roman"/>
          <w:lang w:eastAsia="es-GT"/>
        </w:rPr>
        <w:t xml:space="preserve"> a través de correo electrónico a los bancos comerciales por liquidación de pagos </w:t>
      </w:r>
      <w:r w:rsidR="00E51417" w:rsidRPr="00445D22">
        <w:rPr>
          <w:rFonts w:eastAsia="Times New Roman"/>
          <w:lang w:eastAsia="es-GT"/>
        </w:rPr>
        <w:t xml:space="preserve">por medio </w:t>
      </w:r>
      <w:r w:rsidR="00F40BBE" w:rsidRPr="00445D22">
        <w:rPr>
          <w:rFonts w:eastAsia="Times New Roman"/>
          <w:lang w:eastAsia="es-GT"/>
        </w:rPr>
        <w:t>de transferencias.</w:t>
      </w:r>
    </w:p>
    <w:p w14:paraId="1709079D" w14:textId="77777777" w:rsidR="009F4D7B" w:rsidRPr="00445D22" w:rsidRDefault="009F4D7B" w:rsidP="00396164">
      <w:pPr>
        <w:pStyle w:val="Default"/>
        <w:numPr>
          <w:ilvl w:val="0"/>
          <w:numId w:val="7"/>
        </w:numPr>
        <w:spacing w:after="171"/>
        <w:jc w:val="both"/>
        <w:rPr>
          <w:rFonts w:eastAsia="Times New Roman"/>
          <w:lang w:eastAsia="es-GT"/>
        </w:rPr>
      </w:pPr>
      <w:r w:rsidRPr="00445D22">
        <w:rPr>
          <w:rFonts w:eastAsia="Times New Roman"/>
          <w:lang w:eastAsia="es-GT"/>
        </w:rPr>
        <w:t>Implementado</w:t>
      </w:r>
      <w:r w:rsidR="00B77517" w:rsidRPr="00445D22">
        <w:rPr>
          <w:rFonts w:eastAsia="Times New Roman"/>
          <w:lang w:eastAsia="es-GT"/>
        </w:rPr>
        <w:t>s</w:t>
      </w:r>
      <w:r w:rsidRPr="00445D22">
        <w:rPr>
          <w:rFonts w:eastAsia="Times New Roman"/>
          <w:lang w:eastAsia="es-GT"/>
        </w:rPr>
        <w:t xml:space="preserve"> los t</w:t>
      </w:r>
      <w:r w:rsidR="00F40BBE" w:rsidRPr="00445D22">
        <w:rPr>
          <w:rFonts w:eastAsia="Times New Roman"/>
          <w:lang w:eastAsia="es-GT"/>
        </w:rPr>
        <w:t>érminos de us</w:t>
      </w:r>
      <w:r w:rsidRPr="00445D22">
        <w:rPr>
          <w:rFonts w:eastAsia="Times New Roman"/>
          <w:lang w:eastAsia="es-GT"/>
        </w:rPr>
        <w:t>o</w:t>
      </w:r>
      <w:r w:rsidR="00F40BBE" w:rsidRPr="00445D22">
        <w:rPr>
          <w:rFonts w:eastAsia="Times New Roman"/>
          <w:lang w:eastAsia="es-GT"/>
        </w:rPr>
        <w:t xml:space="preserve"> y responsabili</w:t>
      </w:r>
      <w:r w:rsidRPr="00445D22">
        <w:rPr>
          <w:rFonts w:eastAsia="Times New Roman"/>
          <w:lang w:eastAsia="es-GT"/>
        </w:rPr>
        <w:t xml:space="preserve">dad del Sistema de Guatenóminas; así mismo se realizaron mejoras al </w:t>
      </w:r>
      <w:r w:rsidR="00F40BBE" w:rsidRPr="00445D22">
        <w:rPr>
          <w:rFonts w:eastAsia="Times New Roman"/>
          <w:lang w:eastAsia="es-GT"/>
        </w:rPr>
        <w:t>módulo del renglón</w:t>
      </w:r>
      <w:r w:rsidR="006322EA" w:rsidRPr="00445D22">
        <w:rPr>
          <w:rFonts w:eastAsia="Times New Roman"/>
          <w:lang w:eastAsia="es-GT"/>
        </w:rPr>
        <w:t xml:space="preserve"> 029</w:t>
      </w:r>
      <w:r w:rsidR="00F40BBE" w:rsidRPr="00445D22">
        <w:rPr>
          <w:rFonts w:eastAsia="Times New Roman"/>
          <w:lang w:eastAsia="es-GT"/>
        </w:rPr>
        <w:t xml:space="preserve"> Otras remu</w:t>
      </w:r>
      <w:r w:rsidRPr="00445D22">
        <w:rPr>
          <w:rFonts w:eastAsia="Times New Roman"/>
          <w:lang w:eastAsia="es-GT"/>
        </w:rPr>
        <w:t>neraciones de personal temporal y la d</w:t>
      </w:r>
      <w:r w:rsidR="00F40BBE" w:rsidRPr="00445D22">
        <w:rPr>
          <w:rFonts w:eastAsia="Times New Roman"/>
          <w:lang w:eastAsia="es-GT"/>
        </w:rPr>
        <w:t>esagregación de Nómina de pago de Ayuda Póstuma a cuenta del solicitante.</w:t>
      </w:r>
    </w:p>
    <w:p w14:paraId="5075E31B" w14:textId="77777777" w:rsidR="002B3B14" w:rsidRPr="00445D22" w:rsidRDefault="002B3B14"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 xml:space="preserve">Se continuó con la implementación de la estrategia de transparencia fiscal del </w:t>
      </w:r>
      <w:r w:rsidR="00204162" w:rsidRPr="00445D22">
        <w:rPr>
          <w:rFonts w:ascii="Calibri" w:hAnsi="Calibri" w:cs="Calibri"/>
          <w:sz w:val="24"/>
          <w:szCs w:val="24"/>
        </w:rPr>
        <w:t>MINFIN</w:t>
      </w:r>
      <w:r w:rsidRPr="00445D22">
        <w:rPr>
          <w:rFonts w:ascii="Calibri" w:hAnsi="Calibri" w:cs="Calibri"/>
          <w:sz w:val="24"/>
          <w:szCs w:val="24"/>
        </w:rPr>
        <w:t xml:space="preserve">, </w:t>
      </w:r>
      <w:r w:rsidR="00350340" w:rsidRPr="00445D22">
        <w:rPr>
          <w:rFonts w:ascii="Calibri" w:hAnsi="Calibri" w:cs="Calibri"/>
          <w:sz w:val="24"/>
          <w:szCs w:val="24"/>
        </w:rPr>
        <w:t xml:space="preserve">y con la </w:t>
      </w:r>
      <w:r w:rsidRPr="00445D22">
        <w:rPr>
          <w:rFonts w:ascii="Calibri" w:hAnsi="Calibri" w:cs="Calibri"/>
          <w:sz w:val="24"/>
          <w:szCs w:val="24"/>
        </w:rPr>
        <w:t>aplicación de buenas prácticas y mecanismos internacionales en materia de transparencia fiscal</w:t>
      </w:r>
      <w:r w:rsidR="006322EA" w:rsidRPr="00445D22">
        <w:rPr>
          <w:rFonts w:ascii="Calibri" w:hAnsi="Calibri" w:cs="Calibri"/>
          <w:sz w:val="24"/>
          <w:szCs w:val="24"/>
        </w:rPr>
        <w:t>,</w:t>
      </w:r>
      <w:r w:rsidRPr="00445D22">
        <w:rPr>
          <w:rFonts w:ascii="Calibri" w:hAnsi="Calibri" w:cs="Calibri"/>
          <w:sz w:val="24"/>
          <w:szCs w:val="24"/>
        </w:rPr>
        <w:t xml:space="preserve"> y el cumplimiento de estándares establecidos por diversas iniciativas o mecanismos internacionales.</w:t>
      </w:r>
    </w:p>
    <w:p w14:paraId="5596712D" w14:textId="77777777" w:rsidR="002B3B14" w:rsidRPr="00445D22" w:rsidRDefault="002B3B14" w:rsidP="002B3B14">
      <w:pPr>
        <w:spacing w:after="0" w:line="240" w:lineRule="auto"/>
        <w:jc w:val="both"/>
        <w:rPr>
          <w:rFonts w:ascii="Calibri" w:hAnsi="Calibri" w:cs="Calibri"/>
          <w:sz w:val="24"/>
          <w:szCs w:val="24"/>
        </w:rPr>
      </w:pPr>
    </w:p>
    <w:p w14:paraId="0780BA8C" w14:textId="77777777" w:rsidR="00E55A3B" w:rsidRPr="00445D22" w:rsidRDefault="002B3B14"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Pr="00445D22">
        <w:rPr>
          <w:rFonts w:ascii="Calibri" w:hAnsi="Calibri" w:cs="Calibri"/>
          <w:sz w:val="24"/>
          <w:szCs w:val="24"/>
        </w:rPr>
        <w:t xml:space="preserve"> </w:t>
      </w:r>
      <w:r w:rsidR="00DA3434" w:rsidRPr="00445D22">
        <w:rPr>
          <w:rFonts w:ascii="Calibri" w:hAnsi="Calibri" w:cs="Calibri"/>
          <w:sz w:val="24"/>
          <w:szCs w:val="24"/>
        </w:rPr>
        <w:t xml:space="preserve">en </w:t>
      </w:r>
      <w:r w:rsidR="0078704D" w:rsidRPr="00445D22">
        <w:rPr>
          <w:rFonts w:ascii="Calibri" w:hAnsi="Calibri" w:cs="Calibri"/>
          <w:sz w:val="24"/>
          <w:szCs w:val="24"/>
        </w:rPr>
        <w:t xml:space="preserve">el </w:t>
      </w:r>
      <w:r w:rsidR="00DA3434" w:rsidRPr="00445D22">
        <w:rPr>
          <w:rFonts w:ascii="Calibri" w:hAnsi="Calibri" w:cs="Calibri"/>
          <w:sz w:val="24"/>
          <w:szCs w:val="24"/>
        </w:rPr>
        <w:t xml:space="preserve">tercer </w:t>
      </w:r>
      <w:r w:rsidRPr="00445D22">
        <w:rPr>
          <w:rFonts w:ascii="Calibri" w:hAnsi="Calibri" w:cs="Calibri"/>
          <w:sz w:val="24"/>
          <w:szCs w:val="24"/>
        </w:rPr>
        <w:t>cuatrimestre</w:t>
      </w:r>
      <w:r w:rsidR="006322EA" w:rsidRPr="00445D22">
        <w:rPr>
          <w:rFonts w:ascii="Calibri" w:hAnsi="Calibri" w:cs="Calibri"/>
          <w:sz w:val="24"/>
          <w:szCs w:val="24"/>
        </w:rPr>
        <w:t>,</w:t>
      </w:r>
      <w:r w:rsidRPr="00445D22">
        <w:rPr>
          <w:rFonts w:ascii="Calibri" w:hAnsi="Calibri" w:cs="Calibri"/>
          <w:sz w:val="24"/>
          <w:szCs w:val="24"/>
        </w:rPr>
        <w:t xml:space="preserve"> </w:t>
      </w:r>
      <w:r w:rsidR="00DA3434" w:rsidRPr="00445D22">
        <w:rPr>
          <w:rFonts w:ascii="Calibri" w:hAnsi="Calibri" w:cs="Calibri"/>
          <w:sz w:val="24"/>
          <w:szCs w:val="24"/>
        </w:rPr>
        <w:t xml:space="preserve">continuó con </w:t>
      </w:r>
      <w:r w:rsidRPr="00445D22">
        <w:rPr>
          <w:rFonts w:ascii="Calibri" w:hAnsi="Calibri" w:cs="Calibri"/>
          <w:sz w:val="24"/>
          <w:szCs w:val="24"/>
        </w:rPr>
        <w:t>el segui</w:t>
      </w:r>
      <w:r w:rsidR="006322EA" w:rsidRPr="00445D22">
        <w:rPr>
          <w:rFonts w:ascii="Calibri" w:hAnsi="Calibri" w:cs="Calibri"/>
          <w:sz w:val="24"/>
          <w:szCs w:val="24"/>
        </w:rPr>
        <w:t>miento</w:t>
      </w:r>
      <w:r w:rsidRPr="00445D22">
        <w:rPr>
          <w:rFonts w:ascii="Calibri" w:hAnsi="Calibri" w:cs="Calibri"/>
          <w:sz w:val="24"/>
          <w:szCs w:val="24"/>
        </w:rPr>
        <w:t xml:space="preserve"> a una </w:t>
      </w:r>
      <w:r w:rsidR="006322EA" w:rsidRPr="00445D22">
        <w:rPr>
          <w:rFonts w:ascii="Calibri" w:hAnsi="Calibri" w:cs="Calibri"/>
          <w:sz w:val="24"/>
          <w:szCs w:val="24"/>
        </w:rPr>
        <w:t>serie de acciones que contribuya</w:t>
      </w:r>
      <w:r w:rsidRPr="00445D22">
        <w:rPr>
          <w:rFonts w:ascii="Calibri" w:hAnsi="Calibri" w:cs="Calibri"/>
          <w:sz w:val="24"/>
          <w:szCs w:val="24"/>
        </w:rPr>
        <w:t>n al logro de las metas establecidas, tanto en la Política General de Gobierno</w:t>
      </w:r>
      <w:r w:rsidR="0078704D" w:rsidRPr="00445D22">
        <w:rPr>
          <w:rFonts w:ascii="Calibri" w:hAnsi="Calibri" w:cs="Calibri"/>
          <w:sz w:val="24"/>
          <w:szCs w:val="24"/>
        </w:rPr>
        <w:t>,</w:t>
      </w:r>
      <w:r w:rsidRPr="00445D22">
        <w:rPr>
          <w:rFonts w:ascii="Calibri" w:hAnsi="Calibri" w:cs="Calibri"/>
          <w:sz w:val="24"/>
          <w:szCs w:val="24"/>
        </w:rPr>
        <w:t xml:space="preserve"> como en el Plan Estratégico Institucional</w:t>
      </w:r>
      <w:r w:rsidR="0078704D" w:rsidRPr="00445D22">
        <w:rPr>
          <w:rFonts w:ascii="Calibri" w:hAnsi="Calibri" w:cs="Calibri"/>
          <w:sz w:val="24"/>
          <w:szCs w:val="24"/>
        </w:rPr>
        <w:t xml:space="preserve"> –PEI-</w:t>
      </w:r>
      <w:r w:rsidRPr="00445D22">
        <w:rPr>
          <w:rFonts w:ascii="Calibri" w:hAnsi="Calibri" w:cs="Calibri"/>
          <w:sz w:val="24"/>
          <w:szCs w:val="24"/>
        </w:rPr>
        <w:t>, relacionadas con transparencia fiscal, rendición de cuentas, participación ciudadana y libre acceso a la información pública.</w:t>
      </w:r>
      <w:r w:rsidR="0098525F" w:rsidRPr="00445D22">
        <w:rPr>
          <w:rFonts w:ascii="Calibri" w:hAnsi="Calibri" w:cs="Calibri"/>
          <w:sz w:val="24"/>
          <w:szCs w:val="24"/>
        </w:rPr>
        <w:t xml:space="preserve"> </w:t>
      </w:r>
    </w:p>
    <w:p w14:paraId="70812F40" w14:textId="77777777" w:rsidR="00E55A3B" w:rsidRPr="00445D22" w:rsidRDefault="00E55A3B" w:rsidP="00E55A3B">
      <w:pPr>
        <w:pStyle w:val="ListParagraph"/>
        <w:rPr>
          <w:rFonts w:ascii="Calibri" w:hAnsi="Calibri" w:cs="Calibri"/>
          <w:sz w:val="24"/>
          <w:szCs w:val="24"/>
        </w:rPr>
      </w:pPr>
    </w:p>
    <w:p w14:paraId="26FE9267" w14:textId="77777777" w:rsidR="00E55A3B" w:rsidRPr="00445D22" w:rsidRDefault="00E55A3B"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 xml:space="preserve">Realizados durante el último cuatrimestre informes relacionados con las Finanzas Públicas; en igual forma fueron </w:t>
      </w:r>
      <w:r w:rsidR="00350340" w:rsidRPr="00445D22">
        <w:rPr>
          <w:rFonts w:ascii="Calibri" w:hAnsi="Calibri" w:cs="Calibri"/>
          <w:sz w:val="24"/>
          <w:szCs w:val="24"/>
        </w:rPr>
        <w:t xml:space="preserve">llevadas a cabo </w:t>
      </w:r>
      <w:r w:rsidRPr="00445D22">
        <w:rPr>
          <w:rFonts w:ascii="Calibri" w:hAnsi="Calibri" w:cs="Calibri"/>
          <w:sz w:val="24"/>
          <w:szCs w:val="24"/>
        </w:rPr>
        <w:t>reuniones para coordinar la política tributaria; reportes de Estadísticas Fiscales</w:t>
      </w:r>
      <w:r w:rsidR="00350340" w:rsidRPr="00445D22">
        <w:rPr>
          <w:rFonts w:ascii="Calibri" w:hAnsi="Calibri" w:cs="Calibri"/>
          <w:sz w:val="24"/>
          <w:szCs w:val="24"/>
        </w:rPr>
        <w:t xml:space="preserve">; </w:t>
      </w:r>
      <w:r w:rsidRPr="00445D22">
        <w:rPr>
          <w:rFonts w:ascii="Calibri" w:hAnsi="Calibri" w:cs="Calibri"/>
          <w:sz w:val="24"/>
          <w:szCs w:val="24"/>
        </w:rPr>
        <w:t xml:space="preserve">informe Macro Fiscal de Mediano Plazo 2022-2026; Separata de riesgos fiscales, </w:t>
      </w:r>
      <w:r w:rsidR="007A5727" w:rsidRPr="00445D22">
        <w:rPr>
          <w:rFonts w:ascii="Calibri" w:hAnsi="Calibri" w:cs="Calibri"/>
          <w:sz w:val="24"/>
          <w:szCs w:val="24"/>
        </w:rPr>
        <w:t xml:space="preserve">que </w:t>
      </w:r>
      <w:r w:rsidRPr="00445D22">
        <w:rPr>
          <w:rFonts w:ascii="Calibri" w:hAnsi="Calibri" w:cs="Calibri"/>
          <w:sz w:val="24"/>
          <w:szCs w:val="24"/>
        </w:rPr>
        <w:t>incluye el Proyecto de Presupuesto General de Ingresos y Egresos del Estado para el Ejercicio Fiscal 2022</w:t>
      </w:r>
      <w:r w:rsidR="007A5727" w:rsidRPr="00445D22">
        <w:rPr>
          <w:rFonts w:ascii="Calibri" w:hAnsi="Calibri" w:cs="Calibri"/>
          <w:sz w:val="24"/>
          <w:szCs w:val="24"/>
        </w:rPr>
        <w:t xml:space="preserve"> y</w:t>
      </w:r>
      <w:r w:rsidRPr="00445D22">
        <w:rPr>
          <w:rFonts w:ascii="Calibri" w:hAnsi="Calibri" w:cs="Calibri"/>
          <w:sz w:val="24"/>
          <w:szCs w:val="24"/>
        </w:rPr>
        <w:t xml:space="preserve"> realizado el Diseño del marco referencial para la implementación de la Estrategia Fiscal Ambiental.</w:t>
      </w:r>
    </w:p>
    <w:p w14:paraId="0F433F7B" w14:textId="77777777" w:rsidR="007A5727" w:rsidRPr="00445D22" w:rsidRDefault="007A5727" w:rsidP="007A5727">
      <w:pPr>
        <w:pStyle w:val="ListParagraph"/>
        <w:rPr>
          <w:rFonts w:ascii="Calibri" w:hAnsi="Calibri" w:cs="Calibri"/>
          <w:sz w:val="24"/>
          <w:szCs w:val="24"/>
        </w:rPr>
      </w:pPr>
    </w:p>
    <w:p w14:paraId="21E6FECB" w14:textId="77777777" w:rsidR="007A5727" w:rsidRPr="00445D22" w:rsidRDefault="0078704D"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E</w:t>
      </w:r>
      <w:r w:rsidR="007A5727" w:rsidRPr="00445D22">
        <w:rPr>
          <w:rFonts w:ascii="Calibri" w:hAnsi="Calibri" w:cs="Calibri"/>
          <w:sz w:val="24"/>
          <w:szCs w:val="24"/>
        </w:rPr>
        <w:t xml:space="preserve">l </w:t>
      </w:r>
      <w:r w:rsidRPr="00445D22">
        <w:rPr>
          <w:rFonts w:ascii="Calibri" w:hAnsi="Calibri" w:cs="Calibri"/>
          <w:sz w:val="24"/>
          <w:szCs w:val="24"/>
        </w:rPr>
        <w:t>MINFIN aprobó</w:t>
      </w:r>
      <w:r w:rsidR="007A5727" w:rsidRPr="00445D22">
        <w:rPr>
          <w:rFonts w:ascii="Calibri" w:hAnsi="Calibri" w:cs="Calibri"/>
          <w:sz w:val="24"/>
          <w:szCs w:val="24"/>
        </w:rPr>
        <w:t xml:space="preserve"> el Plan de Acción elaborado conjuntamente con el Foro Global</w:t>
      </w:r>
      <w:r w:rsidRPr="00445D22">
        <w:rPr>
          <w:rFonts w:ascii="Calibri" w:hAnsi="Calibri" w:cs="Calibri"/>
          <w:sz w:val="24"/>
          <w:szCs w:val="24"/>
        </w:rPr>
        <w:t xml:space="preserve">,  que busca </w:t>
      </w:r>
      <w:r w:rsidR="007A5727" w:rsidRPr="00445D22">
        <w:rPr>
          <w:rFonts w:ascii="Calibri" w:hAnsi="Calibri" w:cs="Calibri"/>
          <w:sz w:val="24"/>
          <w:szCs w:val="24"/>
        </w:rPr>
        <w:t>abordar y dar seguimiento a las recomendaciones planteadas a Guatemala en la última revisión de “pares” llevada a cabo</w:t>
      </w:r>
      <w:r w:rsidR="00350340" w:rsidRPr="00445D22">
        <w:rPr>
          <w:rFonts w:ascii="Calibri" w:hAnsi="Calibri" w:cs="Calibri"/>
          <w:sz w:val="24"/>
          <w:szCs w:val="24"/>
        </w:rPr>
        <w:t xml:space="preserve"> con este foro</w:t>
      </w:r>
      <w:r w:rsidR="007A5727" w:rsidRPr="00445D22">
        <w:rPr>
          <w:rFonts w:ascii="Calibri" w:hAnsi="Calibri" w:cs="Calibri"/>
          <w:sz w:val="24"/>
          <w:szCs w:val="24"/>
        </w:rPr>
        <w:t xml:space="preserve">.  </w:t>
      </w:r>
    </w:p>
    <w:p w14:paraId="35C9728F" w14:textId="77777777" w:rsidR="00B77517" w:rsidRPr="00445D22" w:rsidRDefault="00E55A3B" w:rsidP="00E55A3B">
      <w:pPr>
        <w:pStyle w:val="ListParagraph"/>
        <w:spacing w:after="0" w:line="240" w:lineRule="auto"/>
        <w:jc w:val="both"/>
        <w:rPr>
          <w:rFonts w:ascii="Calibri" w:eastAsia="Times New Roman" w:hAnsi="Calibri" w:cs="Calibri"/>
          <w:lang w:eastAsia="es-GT"/>
        </w:rPr>
      </w:pPr>
      <w:r w:rsidRPr="00445D22">
        <w:rPr>
          <w:rFonts w:ascii="Calibri" w:hAnsi="Calibri" w:cs="Calibri"/>
          <w:highlight w:val="green"/>
        </w:rPr>
        <w:t xml:space="preserve"> </w:t>
      </w:r>
    </w:p>
    <w:p w14:paraId="0C3CB65D" w14:textId="77777777" w:rsidR="00F40BBE" w:rsidRPr="00445D22" w:rsidRDefault="00F40BBE" w:rsidP="00396164">
      <w:pPr>
        <w:pStyle w:val="Default"/>
        <w:numPr>
          <w:ilvl w:val="0"/>
          <w:numId w:val="1"/>
        </w:numPr>
        <w:spacing w:after="171"/>
        <w:jc w:val="both"/>
        <w:rPr>
          <w:rFonts w:eastAsia="Times New Roman"/>
          <w:b/>
          <w:lang w:eastAsia="es-GT"/>
        </w:rPr>
      </w:pPr>
      <w:r w:rsidRPr="00445D22">
        <w:rPr>
          <w:rFonts w:eastAsia="Times New Roman"/>
          <w:b/>
          <w:lang w:eastAsia="es-GT"/>
        </w:rPr>
        <w:lastRenderedPageBreak/>
        <w:t xml:space="preserve">Medidas o acciones aplicadas para transparentar la ejecución del gasto público y combatir la corrupción.  </w:t>
      </w:r>
    </w:p>
    <w:p w14:paraId="102CBC2B" w14:textId="77777777" w:rsidR="00473332" w:rsidRPr="00445D22" w:rsidRDefault="0078704D"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A</w:t>
      </w:r>
      <w:r w:rsidR="00473332" w:rsidRPr="00445D22">
        <w:rPr>
          <w:rFonts w:ascii="Calibri" w:hAnsi="Calibri" w:cs="Calibri"/>
          <w:sz w:val="24"/>
          <w:szCs w:val="24"/>
        </w:rPr>
        <w:t>tendidas  las recomendaciones</w:t>
      </w:r>
      <w:r w:rsidRPr="00445D22">
        <w:rPr>
          <w:rFonts w:ascii="Calibri" w:hAnsi="Calibri" w:cs="Calibri"/>
          <w:sz w:val="24"/>
          <w:szCs w:val="24"/>
        </w:rPr>
        <w:t>,</w:t>
      </w:r>
      <w:r w:rsidR="00473332" w:rsidRPr="00445D22">
        <w:rPr>
          <w:rFonts w:ascii="Calibri" w:hAnsi="Calibri" w:cs="Calibri"/>
          <w:sz w:val="24"/>
          <w:szCs w:val="24"/>
        </w:rPr>
        <w:t xml:space="preserve"> resultado de las evaluaciones realizadas al país</w:t>
      </w:r>
      <w:r w:rsidR="0034564F" w:rsidRPr="00445D22">
        <w:rPr>
          <w:rFonts w:ascii="Calibri" w:hAnsi="Calibri" w:cs="Calibri"/>
          <w:sz w:val="24"/>
          <w:szCs w:val="24"/>
        </w:rPr>
        <w:t>,</w:t>
      </w:r>
      <w:r w:rsidR="00473332" w:rsidRPr="00445D22">
        <w:rPr>
          <w:rFonts w:ascii="Calibri" w:hAnsi="Calibri" w:cs="Calibri"/>
          <w:sz w:val="24"/>
          <w:szCs w:val="24"/>
        </w:rPr>
        <w:t xml:space="preserve"> por organismos internacionales y calificadoras de riesgo, sobre buenas prácticas internacionales en materia de gestión de las finanzas públicas y transparencia fiscal.</w:t>
      </w:r>
    </w:p>
    <w:p w14:paraId="1F3B81CF" w14:textId="77777777" w:rsidR="0034564F" w:rsidRPr="00445D22" w:rsidRDefault="0034564F" w:rsidP="0034564F">
      <w:pPr>
        <w:spacing w:after="0" w:line="240" w:lineRule="auto"/>
        <w:jc w:val="both"/>
        <w:rPr>
          <w:rFonts w:ascii="Calibri" w:hAnsi="Calibri" w:cs="Calibri"/>
          <w:sz w:val="24"/>
          <w:szCs w:val="24"/>
        </w:rPr>
      </w:pPr>
    </w:p>
    <w:p w14:paraId="48EFA0EA" w14:textId="77777777" w:rsidR="00473332" w:rsidRPr="00445D22" w:rsidRDefault="00473332"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Se continuó promoviendo la transparencia y la rendición de cuentas</w:t>
      </w:r>
      <w:r w:rsidR="0034564F" w:rsidRPr="00445D22">
        <w:rPr>
          <w:rFonts w:ascii="Calibri" w:hAnsi="Calibri" w:cs="Calibri"/>
          <w:sz w:val="24"/>
          <w:szCs w:val="24"/>
        </w:rPr>
        <w:t>,</w:t>
      </w:r>
      <w:r w:rsidRPr="00445D22">
        <w:rPr>
          <w:rFonts w:ascii="Calibri" w:hAnsi="Calibri" w:cs="Calibri"/>
          <w:sz w:val="24"/>
          <w:szCs w:val="24"/>
        </w:rPr>
        <w:t xml:space="preserve"> a través de la implementación de buenas prácticas internacionales, este elemento se ha aten</w:t>
      </w:r>
      <w:r w:rsidR="0034564F" w:rsidRPr="00445D22">
        <w:rPr>
          <w:rFonts w:ascii="Calibri" w:hAnsi="Calibri" w:cs="Calibri"/>
          <w:sz w:val="24"/>
          <w:szCs w:val="24"/>
        </w:rPr>
        <w:t>dido mediante dos componentes, siendo éstos</w:t>
      </w:r>
      <w:r w:rsidR="006322EA" w:rsidRPr="00445D22">
        <w:rPr>
          <w:rFonts w:ascii="Calibri" w:hAnsi="Calibri" w:cs="Calibri"/>
          <w:sz w:val="24"/>
          <w:szCs w:val="24"/>
        </w:rPr>
        <w:t>:</w:t>
      </w:r>
      <w:r w:rsidR="0034564F" w:rsidRPr="00445D22">
        <w:rPr>
          <w:rFonts w:ascii="Calibri" w:hAnsi="Calibri" w:cs="Calibri"/>
          <w:sz w:val="24"/>
          <w:szCs w:val="24"/>
        </w:rPr>
        <w:t xml:space="preserve"> 1) </w:t>
      </w:r>
      <w:r w:rsidRPr="00445D22">
        <w:rPr>
          <w:rFonts w:ascii="Calibri" w:hAnsi="Calibri" w:cs="Calibri"/>
          <w:sz w:val="24"/>
          <w:szCs w:val="24"/>
        </w:rPr>
        <w:t xml:space="preserve">Ejercicio de Presupuesto Abierto y </w:t>
      </w:r>
      <w:r w:rsidR="0034564F" w:rsidRPr="00445D22">
        <w:rPr>
          <w:rFonts w:ascii="Calibri" w:hAnsi="Calibri" w:cs="Calibri"/>
          <w:sz w:val="24"/>
          <w:szCs w:val="24"/>
        </w:rPr>
        <w:t xml:space="preserve">             2) </w:t>
      </w:r>
      <w:r w:rsidRPr="00445D22">
        <w:rPr>
          <w:rFonts w:ascii="Calibri" w:hAnsi="Calibri" w:cs="Calibri"/>
          <w:sz w:val="24"/>
          <w:szCs w:val="24"/>
        </w:rPr>
        <w:t xml:space="preserve">Diseño, </w:t>
      </w:r>
      <w:r w:rsidR="006322EA" w:rsidRPr="00445D22">
        <w:rPr>
          <w:rFonts w:ascii="Calibri" w:hAnsi="Calibri" w:cs="Calibri"/>
          <w:sz w:val="24"/>
          <w:szCs w:val="24"/>
        </w:rPr>
        <w:t>r</w:t>
      </w:r>
      <w:r w:rsidRPr="00445D22">
        <w:rPr>
          <w:rFonts w:ascii="Calibri" w:hAnsi="Calibri" w:cs="Calibri"/>
          <w:sz w:val="24"/>
          <w:szCs w:val="24"/>
        </w:rPr>
        <w:t xml:space="preserve">ediseño e </w:t>
      </w:r>
      <w:r w:rsidR="006322EA" w:rsidRPr="00445D22">
        <w:rPr>
          <w:rFonts w:ascii="Calibri" w:hAnsi="Calibri" w:cs="Calibri"/>
          <w:sz w:val="24"/>
          <w:szCs w:val="24"/>
        </w:rPr>
        <w:t>i</w:t>
      </w:r>
      <w:r w:rsidRPr="00445D22">
        <w:rPr>
          <w:rFonts w:ascii="Calibri" w:hAnsi="Calibri" w:cs="Calibri"/>
          <w:sz w:val="24"/>
          <w:szCs w:val="24"/>
        </w:rPr>
        <w:t>mplementación de portales de transparencia fiscal.</w:t>
      </w:r>
    </w:p>
    <w:p w14:paraId="2BFD0C1F" w14:textId="77777777" w:rsidR="00473332" w:rsidRPr="00445D22" w:rsidRDefault="00473332" w:rsidP="00473332">
      <w:pPr>
        <w:pStyle w:val="ListParagraph"/>
        <w:spacing w:after="0" w:line="240" w:lineRule="auto"/>
        <w:ind w:left="360"/>
        <w:jc w:val="both"/>
        <w:rPr>
          <w:rFonts w:ascii="Calibri" w:hAnsi="Calibri" w:cs="Calibri"/>
          <w:sz w:val="24"/>
          <w:szCs w:val="24"/>
        </w:rPr>
      </w:pPr>
    </w:p>
    <w:p w14:paraId="25C6D64F" w14:textId="77777777" w:rsidR="00473332" w:rsidRPr="00445D22" w:rsidRDefault="00473332"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Se ha puesto a disposición de la ciudadanía información comprensible, oportuna en formatos abiertos, con calidad y pertinencia, este elemento se ha atendido a través de dos componentes:</w:t>
      </w:r>
      <w:r w:rsidR="0034564F" w:rsidRPr="00445D22">
        <w:rPr>
          <w:rFonts w:ascii="Calibri" w:hAnsi="Calibri" w:cs="Calibri"/>
          <w:sz w:val="24"/>
          <w:szCs w:val="24"/>
        </w:rPr>
        <w:t xml:space="preserve"> 1) </w:t>
      </w:r>
      <w:r w:rsidRPr="00445D22">
        <w:rPr>
          <w:rFonts w:ascii="Calibri" w:hAnsi="Calibri" w:cs="Calibri"/>
          <w:sz w:val="24"/>
          <w:szCs w:val="24"/>
        </w:rPr>
        <w:t xml:space="preserve">Presupuesto Ciudadano y </w:t>
      </w:r>
      <w:r w:rsidR="0034564F" w:rsidRPr="00445D22">
        <w:rPr>
          <w:rFonts w:ascii="Calibri" w:hAnsi="Calibri" w:cs="Calibri"/>
          <w:sz w:val="24"/>
          <w:szCs w:val="24"/>
        </w:rPr>
        <w:t xml:space="preserve">2) </w:t>
      </w:r>
      <w:r w:rsidRPr="00445D22">
        <w:rPr>
          <w:rFonts w:ascii="Calibri" w:hAnsi="Calibri" w:cs="Calibri"/>
          <w:sz w:val="24"/>
          <w:szCs w:val="24"/>
        </w:rPr>
        <w:t xml:space="preserve">Portal de </w:t>
      </w:r>
      <w:r w:rsidR="00A35982" w:rsidRPr="00445D22">
        <w:rPr>
          <w:rFonts w:ascii="Calibri" w:hAnsi="Calibri" w:cs="Calibri"/>
          <w:sz w:val="24"/>
          <w:szCs w:val="24"/>
        </w:rPr>
        <w:t>datos abiertos y Portal de transparencia p</w:t>
      </w:r>
      <w:r w:rsidRPr="00445D22">
        <w:rPr>
          <w:rFonts w:ascii="Calibri" w:hAnsi="Calibri" w:cs="Calibri"/>
          <w:sz w:val="24"/>
          <w:szCs w:val="24"/>
        </w:rPr>
        <w:t>resupuestaria.</w:t>
      </w:r>
    </w:p>
    <w:p w14:paraId="58184E65" w14:textId="77777777" w:rsidR="00A5344F" w:rsidRPr="00445D22" w:rsidRDefault="00A5344F" w:rsidP="00473332">
      <w:pPr>
        <w:pStyle w:val="ListParagraph"/>
        <w:spacing w:after="0" w:line="240" w:lineRule="auto"/>
        <w:ind w:left="360"/>
        <w:jc w:val="both"/>
        <w:rPr>
          <w:rFonts w:ascii="Calibri" w:hAnsi="Calibri" w:cs="Calibri"/>
          <w:sz w:val="24"/>
          <w:szCs w:val="24"/>
        </w:rPr>
      </w:pPr>
    </w:p>
    <w:p w14:paraId="37844D49" w14:textId="77777777" w:rsidR="00473332" w:rsidRPr="00445D22" w:rsidRDefault="00473332"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Se continuó fortaleciendo la cultura fiscal para concientizar a la ciudadanía</w:t>
      </w:r>
      <w:r w:rsidR="00A35982" w:rsidRPr="00445D22">
        <w:rPr>
          <w:rFonts w:ascii="Calibri" w:hAnsi="Calibri" w:cs="Calibri"/>
          <w:sz w:val="24"/>
          <w:szCs w:val="24"/>
        </w:rPr>
        <w:t>,</w:t>
      </w:r>
      <w:r w:rsidRPr="00445D22">
        <w:rPr>
          <w:rFonts w:ascii="Calibri" w:hAnsi="Calibri" w:cs="Calibri"/>
          <w:sz w:val="24"/>
          <w:szCs w:val="24"/>
        </w:rPr>
        <w:t xml:space="preserve"> sobre el cumplimiento tributario, este elemento se ha atendido a través de tres componentes: </w:t>
      </w:r>
      <w:r w:rsidR="0034564F" w:rsidRPr="00445D22">
        <w:rPr>
          <w:rFonts w:ascii="Calibri" w:hAnsi="Calibri" w:cs="Calibri"/>
          <w:sz w:val="24"/>
          <w:szCs w:val="24"/>
        </w:rPr>
        <w:t xml:space="preserve">1) </w:t>
      </w:r>
      <w:r w:rsidRPr="00445D22">
        <w:rPr>
          <w:rFonts w:ascii="Calibri" w:hAnsi="Calibri" w:cs="Calibri"/>
          <w:sz w:val="24"/>
          <w:szCs w:val="24"/>
        </w:rPr>
        <w:t xml:space="preserve">Presupuesto Ciudadano, </w:t>
      </w:r>
      <w:r w:rsidR="0034564F" w:rsidRPr="00445D22">
        <w:rPr>
          <w:rFonts w:ascii="Calibri" w:hAnsi="Calibri" w:cs="Calibri"/>
          <w:sz w:val="24"/>
          <w:szCs w:val="24"/>
        </w:rPr>
        <w:t xml:space="preserve">2) </w:t>
      </w:r>
      <w:r w:rsidRPr="00445D22">
        <w:rPr>
          <w:rFonts w:ascii="Calibri" w:hAnsi="Calibri" w:cs="Calibri"/>
          <w:sz w:val="24"/>
          <w:szCs w:val="24"/>
        </w:rPr>
        <w:t>Programa de Formación Permanente en Materia de Transparencia Fiscal</w:t>
      </w:r>
      <w:r w:rsidR="00A5344F" w:rsidRPr="00445D22">
        <w:rPr>
          <w:rFonts w:ascii="Calibri" w:hAnsi="Calibri" w:cs="Calibri"/>
          <w:sz w:val="24"/>
          <w:szCs w:val="24"/>
        </w:rPr>
        <w:t xml:space="preserve"> y </w:t>
      </w:r>
      <w:r w:rsidR="0034564F" w:rsidRPr="00445D22">
        <w:rPr>
          <w:rFonts w:ascii="Calibri" w:hAnsi="Calibri" w:cs="Calibri"/>
          <w:sz w:val="24"/>
          <w:szCs w:val="24"/>
        </w:rPr>
        <w:t xml:space="preserve">3) </w:t>
      </w:r>
      <w:r w:rsidRPr="00445D22">
        <w:rPr>
          <w:rFonts w:ascii="Calibri" w:hAnsi="Calibri" w:cs="Calibri"/>
          <w:sz w:val="24"/>
          <w:szCs w:val="24"/>
        </w:rPr>
        <w:t>Convenio de Cooperación para la Buena Gobernanza</w:t>
      </w:r>
      <w:r w:rsidR="0034564F" w:rsidRPr="00445D22">
        <w:rPr>
          <w:rFonts w:ascii="Calibri" w:hAnsi="Calibri" w:cs="Calibri"/>
          <w:sz w:val="24"/>
          <w:szCs w:val="24"/>
        </w:rPr>
        <w:t>.</w:t>
      </w:r>
    </w:p>
    <w:p w14:paraId="6995C621" w14:textId="77777777" w:rsidR="003060BF" w:rsidRPr="00445D22" w:rsidRDefault="003060BF" w:rsidP="003060BF">
      <w:pPr>
        <w:pStyle w:val="ListParagraph"/>
        <w:rPr>
          <w:rFonts w:ascii="Calibri" w:hAnsi="Calibri" w:cs="Calibri"/>
          <w:sz w:val="24"/>
          <w:szCs w:val="24"/>
        </w:rPr>
      </w:pPr>
    </w:p>
    <w:p w14:paraId="31DECD4F" w14:textId="77777777" w:rsidR="00495783" w:rsidRPr="00445D22" w:rsidRDefault="004E6A9C"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 xml:space="preserve">El </w:t>
      </w:r>
      <w:r w:rsidR="00204162" w:rsidRPr="00445D22">
        <w:rPr>
          <w:rFonts w:ascii="Calibri" w:hAnsi="Calibri" w:cs="Calibri"/>
          <w:sz w:val="24"/>
          <w:szCs w:val="24"/>
        </w:rPr>
        <w:t>MINFIN</w:t>
      </w:r>
      <w:r w:rsidR="00495783" w:rsidRPr="00445D22">
        <w:rPr>
          <w:rFonts w:ascii="Calibri" w:hAnsi="Calibri" w:cs="Calibri"/>
          <w:sz w:val="24"/>
          <w:szCs w:val="24"/>
        </w:rPr>
        <w:t xml:space="preserve"> tiene implementado</w:t>
      </w:r>
      <w:r w:rsidRPr="00445D22">
        <w:rPr>
          <w:rFonts w:ascii="Calibri" w:hAnsi="Calibri" w:cs="Calibri"/>
          <w:sz w:val="24"/>
          <w:szCs w:val="24"/>
        </w:rPr>
        <w:t>s</w:t>
      </w:r>
      <w:r w:rsidR="00495783" w:rsidRPr="00445D22">
        <w:rPr>
          <w:rFonts w:ascii="Calibri" w:hAnsi="Calibri" w:cs="Calibri"/>
          <w:sz w:val="24"/>
          <w:szCs w:val="24"/>
        </w:rPr>
        <w:t xml:space="preserve"> </w:t>
      </w:r>
      <w:r w:rsidRPr="00445D22">
        <w:rPr>
          <w:rFonts w:ascii="Calibri" w:hAnsi="Calibri" w:cs="Calibri"/>
          <w:sz w:val="24"/>
          <w:szCs w:val="24"/>
        </w:rPr>
        <w:t xml:space="preserve">el </w:t>
      </w:r>
      <w:r w:rsidR="00495783" w:rsidRPr="00445D22">
        <w:rPr>
          <w:rFonts w:ascii="Calibri" w:hAnsi="Calibri" w:cs="Calibri"/>
          <w:sz w:val="24"/>
          <w:szCs w:val="24"/>
        </w:rPr>
        <w:t>Sistema de Gestión de Calidad, certificado bajo la norma internacional ISO 9001:2015, que promueve la gestión de los riesgos y la mejora continua de los procesos del Ministerio</w:t>
      </w:r>
      <w:r w:rsidRPr="00445D22">
        <w:rPr>
          <w:rFonts w:ascii="Calibri" w:hAnsi="Calibri" w:cs="Calibri"/>
          <w:sz w:val="24"/>
          <w:szCs w:val="24"/>
        </w:rPr>
        <w:t xml:space="preserve"> y el Sistema de Gestión Antisoborno, certificado bajo la norma internacional ISO </w:t>
      </w:r>
      <w:r w:rsidR="002B3785" w:rsidRPr="00445D22">
        <w:rPr>
          <w:rFonts w:ascii="Calibri" w:hAnsi="Calibri" w:cs="Calibri"/>
          <w:sz w:val="24"/>
          <w:szCs w:val="24"/>
        </w:rPr>
        <w:t>37001:2016</w:t>
      </w:r>
      <w:r w:rsidR="00495783" w:rsidRPr="00445D22">
        <w:rPr>
          <w:rFonts w:ascii="Calibri" w:hAnsi="Calibri" w:cs="Calibri"/>
          <w:sz w:val="24"/>
          <w:szCs w:val="24"/>
        </w:rPr>
        <w:t>,</w:t>
      </w:r>
      <w:r w:rsidR="002B3785" w:rsidRPr="00445D22">
        <w:rPr>
          <w:rFonts w:ascii="Calibri" w:hAnsi="Calibri" w:cs="Calibri"/>
          <w:sz w:val="24"/>
          <w:szCs w:val="24"/>
        </w:rPr>
        <w:t xml:space="preserve"> que busca identificar los riesgos al soborno</w:t>
      </w:r>
      <w:r w:rsidR="00495783" w:rsidRPr="00445D22">
        <w:rPr>
          <w:rFonts w:ascii="Calibri" w:hAnsi="Calibri" w:cs="Calibri"/>
          <w:sz w:val="24"/>
          <w:szCs w:val="24"/>
        </w:rPr>
        <w:t xml:space="preserve">.  </w:t>
      </w:r>
    </w:p>
    <w:p w14:paraId="4B772A10" w14:textId="77777777" w:rsidR="00495783" w:rsidRPr="00445D22" w:rsidRDefault="00495783" w:rsidP="00495783">
      <w:pPr>
        <w:pStyle w:val="ListParagraph"/>
        <w:spacing w:after="0" w:line="240" w:lineRule="auto"/>
        <w:ind w:left="360"/>
        <w:jc w:val="both"/>
        <w:rPr>
          <w:rFonts w:ascii="Calibri" w:hAnsi="Calibri" w:cs="Calibri"/>
          <w:sz w:val="24"/>
          <w:szCs w:val="24"/>
          <w:highlight w:val="yellow"/>
        </w:rPr>
      </w:pPr>
    </w:p>
    <w:p w14:paraId="359583E6" w14:textId="77777777" w:rsidR="00495783" w:rsidRPr="00445D22" w:rsidRDefault="004E6A9C" w:rsidP="00396164">
      <w:pPr>
        <w:pStyle w:val="ListParagraph"/>
        <w:numPr>
          <w:ilvl w:val="0"/>
          <w:numId w:val="7"/>
        </w:numPr>
        <w:spacing w:after="0" w:line="240" w:lineRule="auto"/>
        <w:jc w:val="both"/>
        <w:rPr>
          <w:rFonts w:ascii="Calibri" w:hAnsi="Calibri" w:cs="Calibri"/>
          <w:sz w:val="24"/>
          <w:szCs w:val="24"/>
        </w:rPr>
      </w:pPr>
      <w:r w:rsidRPr="00445D22">
        <w:rPr>
          <w:rFonts w:ascii="Calibri" w:hAnsi="Calibri" w:cs="Calibri"/>
          <w:sz w:val="24"/>
          <w:szCs w:val="24"/>
        </w:rPr>
        <w:t xml:space="preserve">Fueron realizadas </w:t>
      </w:r>
      <w:r w:rsidR="00495783" w:rsidRPr="00445D22">
        <w:rPr>
          <w:rFonts w:ascii="Calibri" w:hAnsi="Calibri" w:cs="Calibri"/>
          <w:sz w:val="24"/>
          <w:szCs w:val="24"/>
        </w:rPr>
        <w:t>auditoría</w:t>
      </w:r>
      <w:r w:rsidRPr="00445D22">
        <w:rPr>
          <w:rFonts w:ascii="Calibri" w:hAnsi="Calibri" w:cs="Calibri"/>
          <w:sz w:val="24"/>
          <w:szCs w:val="24"/>
        </w:rPr>
        <w:t>s</w:t>
      </w:r>
      <w:r w:rsidR="00495783" w:rsidRPr="00445D22">
        <w:rPr>
          <w:rFonts w:ascii="Calibri" w:hAnsi="Calibri" w:cs="Calibri"/>
          <w:sz w:val="24"/>
          <w:szCs w:val="24"/>
        </w:rPr>
        <w:t xml:space="preserve"> externa</w:t>
      </w:r>
      <w:r w:rsidRPr="00445D22">
        <w:rPr>
          <w:rFonts w:ascii="Calibri" w:hAnsi="Calibri" w:cs="Calibri"/>
          <w:sz w:val="24"/>
          <w:szCs w:val="24"/>
        </w:rPr>
        <w:t>s</w:t>
      </w:r>
      <w:r w:rsidR="00495783" w:rsidRPr="00445D22">
        <w:rPr>
          <w:rFonts w:ascii="Calibri" w:hAnsi="Calibri" w:cs="Calibri"/>
          <w:sz w:val="24"/>
          <w:szCs w:val="24"/>
        </w:rPr>
        <w:t xml:space="preserve"> </w:t>
      </w:r>
      <w:r w:rsidRPr="00445D22">
        <w:rPr>
          <w:rFonts w:ascii="Calibri" w:hAnsi="Calibri" w:cs="Calibri"/>
          <w:sz w:val="24"/>
          <w:szCs w:val="24"/>
        </w:rPr>
        <w:t xml:space="preserve">sobre el </w:t>
      </w:r>
      <w:r w:rsidR="00495783" w:rsidRPr="00445D22">
        <w:rPr>
          <w:rFonts w:ascii="Calibri" w:hAnsi="Calibri" w:cs="Calibri"/>
          <w:sz w:val="24"/>
          <w:szCs w:val="24"/>
        </w:rPr>
        <w:t>Sistema de Gestión Antisoborno y  Sistema de Gestión de Calidad, por parte de auditores externos</w:t>
      </w:r>
      <w:r w:rsidRPr="00445D22">
        <w:rPr>
          <w:rFonts w:ascii="Calibri" w:hAnsi="Calibri" w:cs="Calibri"/>
          <w:sz w:val="24"/>
          <w:szCs w:val="24"/>
        </w:rPr>
        <w:t xml:space="preserve">, en el marco de la </w:t>
      </w:r>
      <w:r w:rsidR="00495783" w:rsidRPr="00445D22">
        <w:rPr>
          <w:rFonts w:ascii="Calibri" w:hAnsi="Calibri" w:cs="Calibri"/>
          <w:sz w:val="24"/>
          <w:szCs w:val="24"/>
        </w:rPr>
        <w:t>transparencia e imparcialidad que debe garantizarse la verificación del cumplimiento de los requisitos legales, de</w:t>
      </w:r>
      <w:r w:rsidR="002B3785" w:rsidRPr="00445D22">
        <w:rPr>
          <w:rFonts w:ascii="Calibri" w:hAnsi="Calibri" w:cs="Calibri"/>
          <w:sz w:val="24"/>
          <w:szCs w:val="24"/>
        </w:rPr>
        <w:t xml:space="preserve"> </w:t>
      </w:r>
      <w:r w:rsidR="00495783" w:rsidRPr="00445D22">
        <w:rPr>
          <w:rFonts w:ascii="Calibri" w:hAnsi="Calibri" w:cs="Calibri"/>
          <w:sz w:val="24"/>
          <w:szCs w:val="24"/>
        </w:rPr>
        <w:t>l</w:t>
      </w:r>
      <w:r w:rsidR="002B3785" w:rsidRPr="00445D22">
        <w:rPr>
          <w:rFonts w:ascii="Calibri" w:hAnsi="Calibri" w:cs="Calibri"/>
          <w:sz w:val="24"/>
          <w:szCs w:val="24"/>
        </w:rPr>
        <w:t>os</w:t>
      </w:r>
      <w:r w:rsidR="00495783" w:rsidRPr="00445D22">
        <w:rPr>
          <w:rFonts w:ascii="Calibri" w:hAnsi="Calibri" w:cs="Calibri"/>
          <w:sz w:val="24"/>
          <w:szCs w:val="24"/>
        </w:rPr>
        <w:t xml:space="preserve"> Sistema</w:t>
      </w:r>
      <w:r w:rsidR="002B3785" w:rsidRPr="00445D22">
        <w:rPr>
          <w:rFonts w:ascii="Calibri" w:hAnsi="Calibri" w:cs="Calibri"/>
          <w:sz w:val="24"/>
          <w:szCs w:val="24"/>
        </w:rPr>
        <w:t>s</w:t>
      </w:r>
      <w:r w:rsidR="00495783" w:rsidRPr="00445D22">
        <w:rPr>
          <w:rFonts w:ascii="Calibri" w:hAnsi="Calibri" w:cs="Calibri"/>
          <w:sz w:val="24"/>
          <w:szCs w:val="24"/>
        </w:rPr>
        <w:t xml:space="preserve"> y de la</w:t>
      </w:r>
      <w:r w:rsidR="002B3785" w:rsidRPr="00445D22">
        <w:rPr>
          <w:rFonts w:ascii="Calibri" w:hAnsi="Calibri" w:cs="Calibri"/>
          <w:sz w:val="24"/>
          <w:szCs w:val="24"/>
        </w:rPr>
        <w:t>s</w:t>
      </w:r>
      <w:r w:rsidR="00495783" w:rsidRPr="00445D22">
        <w:rPr>
          <w:rFonts w:ascii="Calibri" w:hAnsi="Calibri" w:cs="Calibri"/>
          <w:sz w:val="24"/>
          <w:szCs w:val="24"/>
        </w:rPr>
        <w:t xml:space="preserve"> Norma</w:t>
      </w:r>
      <w:r w:rsidR="002B3785" w:rsidRPr="00445D22">
        <w:rPr>
          <w:rFonts w:ascii="Calibri" w:hAnsi="Calibri" w:cs="Calibri"/>
          <w:sz w:val="24"/>
          <w:szCs w:val="24"/>
        </w:rPr>
        <w:t>s ISO 37001:2016 e ISO 9001:2015</w:t>
      </w:r>
      <w:r w:rsidR="00495783" w:rsidRPr="00445D22">
        <w:rPr>
          <w:rFonts w:ascii="Calibri" w:hAnsi="Calibri" w:cs="Calibri"/>
          <w:sz w:val="24"/>
          <w:szCs w:val="24"/>
        </w:rPr>
        <w:t>.</w:t>
      </w:r>
    </w:p>
    <w:p w14:paraId="43F1F176" w14:textId="77777777" w:rsidR="00777C70" w:rsidRPr="00445D22" w:rsidRDefault="00777C70" w:rsidP="004311A5">
      <w:pPr>
        <w:pStyle w:val="ListParagraph"/>
        <w:spacing w:after="0"/>
        <w:rPr>
          <w:rFonts w:ascii="Calibri" w:hAnsi="Calibri" w:cs="Calibri"/>
          <w:sz w:val="24"/>
          <w:szCs w:val="24"/>
        </w:rPr>
      </w:pPr>
    </w:p>
    <w:p w14:paraId="33C90CB7" w14:textId="77777777" w:rsidR="00F40BBE" w:rsidRPr="00445D22" w:rsidRDefault="00F40BBE" w:rsidP="00396164">
      <w:pPr>
        <w:pStyle w:val="Default"/>
        <w:numPr>
          <w:ilvl w:val="0"/>
          <w:numId w:val="1"/>
        </w:numPr>
        <w:spacing w:after="171"/>
        <w:jc w:val="both"/>
        <w:rPr>
          <w:rFonts w:eastAsia="Times New Roman"/>
          <w:b/>
          <w:lang w:eastAsia="es-GT"/>
        </w:rPr>
      </w:pPr>
      <w:r w:rsidRPr="00445D22">
        <w:rPr>
          <w:rFonts w:eastAsia="Times New Roman"/>
          <w:b/>
          <w:lang w:eastAsia="es-GT"/>
        </w:rPr>
        <w:t>Indicación de los desafíos institucionales.</w:t>
      </w:r>
    </w:p>
    <w:p w14:paraId="42F9A1F2" w14:textId="77777777" w:rsidR="008A33F4" w:rsidRPr="00445D22" w:rsidRDefault="008A33F4" w:rsidP="00396164">
      <w:pPr>
        <w:pStyle w:val="ListParagraph"/>
        <w:numPr>
          <w:ilvl w:val="0"/>
          <w:numId w:val="7"/>
        </w:numPr>
        <w:jc w:val="both"/>
        <w:rPr>
          <w:rFonts w:ascii="Calibri" w:eastAsia="Times New Roman" w:hAnsi="Calibri" w:cs="Calibri"/>
          <w:color w:val="000000"/>
          <w:sz w:val="24"/>
          <w:szCs w:val="24"/>
          <w:lang w:eastAsia="es-GT"/>
        </w:rPr>
      </w:pPr>
      <w:r w:rsidRPr="00445D22">
        <w:rPr>
          <w:rFonts w:ascii="Calibri" w:eastAsia="Times New Roman" w:hAnsi="Calibri" w:cs="Calibri"/>
          <w:color w:val="000000"/>
          <w:sz w:val="24"/>
          <w:szCs w:val="24"/>
          <w:lang w:eastAsia="es-GT"/>
        </w:rPr>
        <w:t xml:space="preserve">Continuar con la implementación de la Tarjeta de Compras Institucional en las Unidades Ejecutoras del Ministerios, Secretarías y Otras Entidades del Ejecutivo. </w:t>
      </w:r>
    </w:p>
    <w:p w14:paraId="7DC6961B" w14:textId="77777777" w:rsidR="008A33F4" w:rsidRPr="00445D22" w:rsidRDefault="008A33F4" w:rsidP="008A33F4">
      <w:pPr>
        <w:pStyle w:val="ListParagraph"/>
        <w:ind w:left="360"/>
        <w:jc w:val="both"/>
        <w:rPr>
          <w:rFonts w:ascii="Calibri" w:eastAsia="Times New Roman" w:hAnsi="Calibri" w:cs="Calibri"/>
          <w:color w:val="000000"/>
          <w:sz w:val="24"/>
          <w:szCs w:val="24"/>
          <w:lang w:eastAsia="es-GT"/>
        </w:rPr>
      </w:pPr>
    </w:p>
    <w:p w14:paraId="467977CE" w14:textId="77777777" w:rsidR="008A33F4" w:rsidRPr="00445D22" w:rsidRDefault="008A33F4" w:rsidP="00396164">
      <w:pPr>
        <w:pStyle w:val="ListParagraph"/>
        <w:numPr>
          <w:ilvl w:val="0"/>
          <w:numId w:val="7"/>
        </w:numPr>
        <w:jc w:val="both"/>
        <w:rPr>
          <w:rFonts w:ascii="Calibri" w:eastAsia="Times New Roman" w:hAnsi="Calibri" w:cs="Calibri"/>
          <w:color w:val="000000"/>
          <w:sz w:val="24"/>
          <w:szCs w:val="24"/>
          <w:lang w:eastAsia="es-GT"/>
        </w:rPr>
      </w:pPr>
      <w:r w:rsidRPr="00445D22">
        <w:rPr>
          <w:rFonts w:ascii="Calibri" w:eastAsia="Times New Roman" w:hAnsi="Calibri" w:cs="Calibri"/>
          <w:color w:val="000000"/>
          <w:sz w:val="24"/>
          <w:szCs w:val="24"/>
          <w:lang w:eastAsia="es-GT"/>
        </w:rPr>
        <w:t>Continuar con la implementación de la liquidación de pago</w:t>
      </w:r>
      <w:r w:rsidR="00752922" w:rsidRPr="00445D22">
        <w:rPr>
          <w:rFonts w:ascii="Calibri" w:eastAsia="Times New Roman" w:hAnsi="Calibri" w:cs="Calibri"/>
          <w:color w:val="000000"/>
          <w:sz w:val="24"/>
          <w:szCs w:val="24"/>
          <w:lang w:eastAsia="es-GT"/>
        </w:rPr>
        <w:t>s,</w:t>
      </w:r>
      <w:r w:rsidRPr="00445D22">
        <w:rPr>
          <w:rFonts w:ascii="Calibri" w:eastAsia="Times New Roman" w:hAnsi="Calibri" w:cs="Calibri"/>
          <w:color w:val="000000"/>
          <w:sz w:val="24"/>
          <w:szCs w:val="24"/>
          <w:lang w:eastAsia="es-GT"/>
        </w:rPr>
        <w:t xml:space="preserve"> a través de transferencias electrónicas de fondos</w:t>
      </w:r>
      <w:r w:rsidR="00752922" w:rsidRPr="00445D22">
        <w:rPr>
          <w:rFonts w:ascii="Calibri" w:eastAsia="Times New Roman" w:hAnsi="Calibri" w:cs="Calibri"/>
          <w:color w:val="000000"/>
          <w:sz w:val="24"/>
          <w:szCs w:val="24"/>
          <w:lang w:eastAsia="es-GT"/>
        </w:rPr>
        <w:t>,</w:t>
      </w:r>
      <w:r w:rsidRPr="00445D22">
        <w:rPr>
          <w:rFonts w:ascii="Calibri" w:eastAsia="Times New Roman" w:hAnsi="Calibri" w:cs="Calibri"/>
          <w:color w:val="000000"/>
          <w:sz w:val="24"/>
          <w:szCs w:val="24"/>
          <w:lang w:eastAsia="es-GT"/>
        </w:rPr>
        <w:t xml:space="preserve"> utilizando el Sistema de Contabilidad Integrada para Entidades </w:t>
      </w:r>
      <w:r w:rsidRPr="00445D22">
        <w:rPr>
          <w:rFonts w:ascii="Calibri" w:eastAsia="Times New Roman" w:hAnsi="Calibri" w:cs="Calibri"/>
          <w:color w:val="000000"/>
          <w:sz w:val="24"/>
          <w:szCs w:val="24"/>
          <w:lang w:eastAsia="es-GT"/>
        </w:rPr>
        <w:lastRenderedPageBreak/>
        <w:t>Descentralizadas -SICOINDES- con interface al Sistema LBTR, cuyo objetivo es eliminar la utilización de cheques.</w:t>
      </w:r>
    </w:p>
    <w:p w14:paraId="3CF5E630" w14:textId="77777777" w:rsidR="00A131AE" w:rsidRPr="00445D22" w:rsidRDefault="00852326" w:rsidP="00396164">
      <w:pPr>
        <w:pStyle w:val="Default"/>
        <w:numPr>
          <w:ilvl w:val="0"/>
          <w:numId w:val="6"/>
        </w:numPr>
        <w:spacing w:after="167"/>
        <w:ind w:left="360"/>
        <w:jc w:val="both"/>
        <w:rPr>
          <w:color w:val="auto"/>
        </w:rPr>
      </w:pPr>
      <w:r w:rsidRPr="00445D22">
        <w:rPr>
          <w:color w:val="auto"/>
        </w:rPr>
        <w:t xml:space="preserve">El </w:t>
      </w:r>
      <w:r w:rsidR="00204162" w:rsidRPr="00445D22">
        <w:rPr>
          <w:color w:val="auto"/>
        </w:rPr>
        <w:t>MINFIN</w:t>
      </w:r>
      <w:r w:rsidRPr="00445D22">
        <w:rPr>
          <w:color w:val="auto"/>
        </w:rPr>
        <w:t xml:space="preserve"> en el marco de </w:t>
      </w:r>
      <w:r w:rsidR="00C00B8D" w:rsidRPr="00445D22">
        <w:rPr>
          <w:color w:val="auto"/>
        </w:rPr>
        <w:t>la</w:t>
      </w:r>
      <w:r w:rsidRPr="00445D22">
        <w:rPr>
          <w:color w:val="auto"/>
        </w:rPr>
        <w:t xml:space="preserve"> normativa, continuará con el </w:t>
      </w:r>
      <w:r w:rsidR="00A85EC2" w:rsidRPr="00445D22">
        <w:rPr>
          <w:color w:val="auto"/>
        </w:rPr>
        <w:t>apoyo a las diferentes instituciones de Gobierno</w:t>
      </w:r>
      <w:r w:rsidR="00DC411A" w:rsidRPr="00445D22">
        <w:rPr>
          <w:color w:val="auto"/>
        </w:rPr>
        <w:t>,</w:t>
      </w:r>
      <w:r w:rsidRPr="00445D22">
        <w:rPr>
          <w:color w:val="auto"/>
        </w:rPr>
        <w:t xml:space="preserve"> que brindan servicios públicos a la población guatemalteca</w:t>
      </w:r>
      <w:r w:rsidR="00A85EC2" w:rsidRPr="00445D22">
        <w:rPr>
          <w:color w:val="auto"/>
        </w:rPr>
        <w:t xml:space="preserve">, a través de los diferentes sistemas </w:t>
      </w:r>
      <w:r w:rsidR="00DC411A" w:rsidRPr="00445D22">
        <w:rPr>
          <w:color w:val="auto"/>
        </w:rPr>
        <w:t>de administración financiera</w:t>
      </w:r>
      <w:r w:rsidR="00A85EC2" w:rsidRPr="00445D22">
        <w:rPr>
          <w:color w:val="auto"/>
        </w:rPr>
        <w:t xml:space="preserve"> (S</w:t>
      </w:r>
      <w:r w:rsidRPr="00445D22">
        <w:rPr>
          <w:color w:val="auto"/>
        </w:rPr>
        <w:t>icoin, Siges, Guatecompras, Guatenóminas</w:t>
      </w:r>
      <w:r w:rsidR="00A85EC2" w:rsidRPr="00445D22">
        <w:rPr>
          <w:color w:val="auto"/>
        </w:rPr>
        <w:t>)</w:t>
      </w:r>
      <w:r w:rsidR="0001582E" w:rsidRPr="00445D22">
        <w:rPr>
          <w:color w:val="auto"/>
        </w:rPr>
        <w:t>, con especial énfasis para atender la pandemia del Covid -19</w:t>
      </w:r>
      <w:r w:rsidR="00752922" w:rsidRPr="00445D22">
        <w:rPr>
          <w:color w:val="auto"/>
        </w:rPr>
        <w:t>.</w:t>
      </w:r>
    </w:p>
    <w:p w14:paraId="408C9CCC" w14:textId="77777777" w:rsidR="00A131AE" w:rsidRPr="00445D22" w:rsidRDefault="00A131AE" w:rsidP="00396164">
      <w:pPr>
        <w:pStyle w:val="Default"/>
        <w:numPr>
          <w:ilvl w:val="0"/>
          <w:numId w:val="6"/>
        </w:numPr>
        <w:spacing w:after="167"/>
        <w:ind w:left="360"/>
        <w:jc w:val="both"/>
      </w:pPr>
      <w:r w:rsidRPr="00445D22">
        <w:rPr>
          <w:color w:val="auto"/>
        </w:rPr>
        <w:t xml:space="preserve">Por medio de la reforma al </w:t>
      </w:r>
      <w:r w:rsidRPr="00445D22">
        <w:t xml:space="preserve">Acuerdo Gubernativo 905-2002, permitirá regularizar y otorgar en </w:t>
      </w:r>
      <w:r w:rsidR="00752922" w:rsidRPr="00445D22">
        <w:t xml:space="preserve">calidad de </w:t>
      </w:r>
      <w:r w:rsidRPr="00445D22">
        <w:t xml:space="preserve">arrendamiento </w:t>
      </w:r>
      <w:r w:rsidR="00752922" w:rsidRPr="00445D22">
        <w:t xml:space="preserve">los </w:t>
      </w:r>
      <w:r w:rsidRPr="00445D22">
        <w:t>bienes inmuebles del Estado, los ingresos que provienen de dicha regularización</w:t>
      </w:r>
      <w:r w:rsidR="00752922" w:rsidRPr="00445D22">
        <w:t xml:space="preserve"> permitirán otorgar un 50% de </w:t>
      </w:r>
      <w:r w:rsidRPr="00445D22">
        <w:t>es</w:t>
      </w:r>
      <w:r w:rsidR="00752922" w:rsidRPr="00445D22">
        <w:t>t</w:t>
      </w:r>
      <w:r w:rsidRPr="00445D22">
        <w:t>os ingresos como fondos propios a favor de la entidad.</w:t>
      </w:r>
    </w:p>
    <w:p w14:paraId="6D682462" w14:textId="77777777" w:rsidR="00A131AE" w:rsidRPr="00445D22" w:rsidRDefault="00A131AE" w:rsidP="00396164">
      <w:pPr>
        <w:pStyle w:val="Default"/>
        <w:numPr>
          <w:ilvl w:val="0"/>
          <w:numId w:val="6"/>
        </w:numPr>
        <w:spacing w:after="167"/>
        <w:ind w:left="360"/>
        <w:jc w:val="both"/>
      </w:pPr>
      <w:r w:rsidRPr="00445D22">
        <w:t>Implementado el Acuerdo Ministerial No. 188-2021 del reglamento de proyectos para regularizar y legalizar los bienes inmuebles del Estado y de los que se otorgan a favor de éste.</w:t>
      </w:r>
    </w:p>
    <w:p w14:paraId="4F48C17B" w14:textId="77777777" w:rsidR="00A131AE" w:rsidRPr="00445D22" w:rsidRDefault="00A131AE" w:rsidP="00396164">
      <w:pPr>
        <w:pStyle w:val="Default"/>
        <w:numPr>
          <w:ilvl w:val="0"/>
          <w:numId w:val="6"/>
        </w:numPr>
        <w:spacing w:after="167"/>
        <w:ind w:left="360"/>
        <w:jc w:val="both"/>
      </w:pPr>
      <w:r w:rsidRPr="00445D22">
        <w:t>Digitalizar la documentación registral que dará certeza jurídica al Estado como propietario, con la opción de consulta para localizar de forma directa e inmediata dichos documentos.</w:t>
      </w:r>
    </w:p>
    <w:p w14:paraId="35336B85" w14:textId="77777777" w:rsidR="00D3295A" w:rsidRPr="00445D22" w:rsidRDefault="00A131AE" w:rsidP="00396164">
      <w:pPr>
        <w:pStyle w:val="Default"/>
        <w:numPr>
          <w:ilvl w:val="0"/>
          <w:numId w:val="6"/>
        </w:numPr>
        <w:spacing w:after="167"/>
        <w:ind w:left="360"/>
        <w:jc w:val="both"/>
      </w:pPr>
      <w:r w:rsidRPr="00445D22">
        <w:t>Propuesta de proyecto de fortalecimiento para el levantamiento fotogramétrico</w:t>
      </w:r>
      <w:r w:rsidR="00773102" w:rsidRPr="00445D22">
        <w:t>,</w:t>
      </w:r>
      <w:r w:rsidRPr="00445D22">
        <w:t xml:space="preserve"> a partir de sobre vuelo satelital con drones, para generar un mapeo geo referenciado a escala</w:t>
      </w:r>
      <w:r w:rsidR="00773102" w:rsidRPr="00445D22">
        <w:t>,</w:t>
      </w:r>
      <w:r w:rsidRPr="00445D22">
        <w:t xml:space="preserve"> que permita obtener la </w:t>
      </w:r>
      <w:r w:rsidR="0003002D" w:rsidRPr="00445D22">
        <w:t>ortofoto</w:t>
      </w:r>
      <w:r w:rsidRPr="00445D22">
        <w:t xml:space="preserve"> de un espacio de interés.</w:t>
      </w:r>
    </w:p>
    <w:p w14:paraId="10B08D02" w14:textId="77777777" w:rsidR="007E4600" w:rsidRPr="00445D22" w:rsidRDefault="007E4600" w:rsidP="00396164">
      <w:pPr>
        <w:pStyle w:val="Default"/>
        <w:numPr>
          <w:ilvl w:val="0"/>
          <w:numId w:val="6"/>
        </w:numPr>
        <w:spacing w:after="167"/>
        <w:ind w:left="360"/>
        <w:jc w:val="both"/>
      </w:pPr>
      <w:r w:rsidRPr="00445D22">
        <w:t>Implementa</w:t>
      </w:r>
      <w:r w:rsidR="00773102" w:rsidRPr="00445D22">
        <w:t>r</w:t>
      </w:r>
      <w:r w:rsidRPr="00445D22">
        <w:t xml:space="preserve"> la carga automática de facturas FEL para el pago de contratistas registrado</w:t>
      </w:r>
      <w:r w:rsidR="00B27313" w:rsidRPr="00445D22">
        <w:t xml:space="preserve">s en el Sistema de Guatenóminas; en igual forma mejoras al </w:t>
      </w:r>
      <w:r w:rsidRPr="00445D22">
        <w:t>módulo de 029 Otras remuneraciones de personal temporal.</w:t>
      </w:r>
    </w:p>
    <w:p w14:paraId="601E4856" w14:textId="77777777" w:rsidR="007A5727" w:rsidRPr="00445D22" w:rsidRDefault="00773102" w:rsidP="00396164">
      <w:pPr>
        <w:pStyle w:val="Default"/>
        <w:numPr>
          <w:ilvl w:val="0"/>
          <w:numId w:val="6"/>
        </w:numPr>
        <w:spacing w:after="167"/>
        <w:ind w:left="360"/>
        <w:jc w:val="both"/>
      </w:pPr>
      <w:r w:rsidRPr="00445D22">
        <w:t>Prever</w:t>
      </w:r>
      <w:r w:rsidR="007A5727" w:rsidRPr="00445D22">
        <w:t xml:space="preserve"> la implementación de la primera fase del proyecto “Asistencia Técnica para la transición hacia una economía verde en Guatemala, a través de políticas fiscales y económicas verdes” con Naciones Unidas a través de PNUD.</w:t>
      </w:r>
    </w:p>
    <w:p w14:paraId="460DD3D4" w14:textId="58945837" w:rsidR="00097DDF" w:rsidRPr="00445D22" w:rsidRDefault="008C2033" w:rsidP="00097DDF">
      <w:pPr>
        <w:pStyle w:val="Default"/>
        <w:numPr>
          <w:ilvl w:val="0"/>
          <w:numId w:val="6"/>
        </w:numPr>
        <w:spacing w:after="167"/>
        <w:ind w:left="360"/>
        <w:jc w:val="both"/>
      </w:pPr>
      <w:r w:rsidRPr="00445D22">
        <w:t>Continuar con la c</w:t>
      </w:r>
      <w:r w:rsidR="007A5727" w:rsidRPr="00445D22">
        <w:t xml:space="preserve">ompilación y diseminación con el Consejo Monetario Centroamericano, </w:t>
      </w:r>
      <w:r w:rsidRPr="00445D22">
        <w:t xml:space="preserve"> </w:t>
      </w:r>
      <w:r w:rsidR="007A5727" w:rsidRPr="00445D22">
        <w:t xml:space="preserve">el COSEFIN y CAPTAC-DR </w:t>
      </w:r>
      <w:r w:rsidRPr="00445D22">
        <w:t xml:space="preserve">con respecto a </w:t>
      </w:r>
      <w:r w:rsidR="007A5727" w:rsidRPr="00445D22">
        <w:t>las cifras estadísticas agregadas de las Sociedades Públicas No Financieras</w:t>
      </w:r>
      <w:r w:rsidR="00773102" w:rsidRPr="00445D22">
        <w:t>,</w:t>
      </w:r>
      <w:r w:rsidR="007A5727" w:rsidRPr="00445D22">
        <w:t xml:space="preserve"> conforme los estándares internacionales del Fondo Monetario Internacional.</w:t>
      </w:r>
    </w:p>
    <w:p w14:paraId="5326689D" w14:textId="77777777" w:rsidR="007A5727" w:rsidRPr="00445D22" w:rsidRDefault="007A5727" w:rsidP="00396164">
      <w:pPr>
        <w:pStyle w:val="Default"/>
        <w:numPr>
          <w:ilvl w:val="0"/>
          <w:numId w:val="6"/>
        </w:numPr>
        <w:spacing w:after="167"/>
        <w:ind w:left="360"/>
        <w:jc w:val="both"/>
      </w:pPr>
      <w:r w:rsidRPr="00445D22">
        <w:t>Continuar con los Modelos de microsimulación (Naciones Unidas).</w:t>
      </w:r>
    </w:p>
    <w:p w14:paraId="03884294" w14:textId="77777777" w:rsidR="007A5727" w:rsidRPr="004B6F66" w:rsidRDefault="007A5727" w:rsidP="007A5727">
      <w:pPr>
        <w:pStyle w:val="Default"/>
        <w:spacing w:after="167"/>
        <w:ind w:left="360"/>
        <w:jc w:val="both"/>
        <w:rPr>
          <w:rFonts w:ascii="Times New Roman" w:hAnsi="Times New Roman" w:cs="Times New Roman"/>
        </w:rPr>
      </w:pPr>
    </w:p>
    <w:sectPr w:rsidR="007A5727" w:rsidRPr="004B6F66" w:rsidSect="0010316D">
      <w:headerReference w:type="default" r:id="rId22"/>
      <w:footerReference w:type="default" r:id="rId23"/>
      <w:pgSz w:w="12240" w:h="15840"/>
      <w:pgMar w:top="2113"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F3470" w14:textId="77777777" w:rsidR="009C5DF7" w:rsidRDefault="009C5DF7" w:rsidP="0070356A">
      <w:pPr>
        <w:spacing w:after="0" w:line="240" w:lineRule="auto"/>
      </w:pPr>
      <w:r>
        <w:separator/>
      </w:r>
    </w:p>
  </w:endnote>
  <w:endnote w:type="continuationSeparator" w:id="0">
    <w:p w14:paraId="63188730" w14:textId="77777777" w:rsidR="009C5DF7" w:rsidRDefault="009C5DF7" w:rsidP="0070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1"/>
    <w:family w:val="roman"/>
    <w:pitch w:val="variable"/>
  </w:font>
  <w:font w:name="Droid Sans Fallback">
    <w:panose1 w:val="020B0604020202020204"/>
    <w:charset w:val="00"/>
    <w:family w:val="roman"/>
    <w:notTrueType/>
    <w:pitch w:val="default"/>
  </w:font>
  <w:font w:name="Droid Sans Devanagari">
    <w:altName w:val="Times New Roman"/>
    <w:panose1 w:val="020B0604020202020204"/>
    <w:charset w:val="00"/>
    <w:family w:val="roman"/>
    <w:notTrueType/>
    <w:pitch w:val="default"/>
  </w:font>
  <w:font w:name="Montserrat">
    <w:altName w:val="Cambria"/>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B061" w14:textId="2DC98714" w:rsidR="00FB357F" w:rsidRDefault="00FB3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32A1D" w14:textId="77777777" w:rsidR="009C5DF7" w:rsidRDefault="009C5DF7" w:rsidP="0070356A">
      <w:pPr>
        <w:spacing w:after="0" w:line="240" w:lineRule="auto"/>
      </w:pPr>
      <w:r>
        <w:separator/>
      </w:r>
    </w:p>
  </w:footnote>
  <w:footnote w:type="continuationSeparator" w:id="0">
    <w:p w14:paraId="4F431F79" w14:textId="77777777" w:rsidR="009C5DF7" w:rsidRDefault="009C5DF7" w:rsidP="00703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0B83" w14:textId="6D303DF5" w:rsidR="00307DA1" w:rsidRDefault="0010316D">
    <w:pPr>
      <w:pStyle w:val="Header"/>
    </w:pPr>
    <w:r>
      <w:rPr>
        <w:noProof/>
      </w:rPr>
      <w:drawing>
        <wp:anchor distT="0" distB="0" distL="114300" distR="114300" simplePos="0" relativeHeight="251668992" behindDoc="1" locked="0" layoutInCell="1" allowOverlap="1" wp14:anchorId="6EC5DFE7" wp14:editId="492C0383">
          <wp:simplePos x="0" y="0"/>
          <wp:positionH relativeFrom="column">
            <wp:posOffset>-1069772</wp:posOffset>
          </wp:positionH>
          <wp:positionV relativeFrom="paragraph">
            <wp:posOffset>-449580</wp:posOffset>
          </wp:positionV>
          <wp:extent cx="7752945" cy="1317598"/>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52945" cy="13175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06B"/>
    <w:multiLevelType w:val="hybridMultilevel"/>
    <w:tmpl w:val="5CC67D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C2D3D7F"/>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BE156F"/>
    <w:multiLevelType w:val="hybridMultilevel"/>
    <w:tmpl w:val="C9D2107C"/>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E011E3E"/>
    <w:multiLevelType w:val="hybridMultilevel"/>
    <w:tmpl w:val="C100D1E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3A742F6B"/>
    <w:multiLevelType w:val="hybridMultilevel"/>
    <w:tmpl w:val="9B7C7A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14A7325"/>
    <w:multiLevelType w:val="hybridMultilevel"/>
    <w:tmpl w:val="593E09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FDE3C64"/>
    <w:multiLevelType w:val="multilevel"/>
    <w:tmpl w:val="100A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555855E5"/>
    <w:multiLevelType w:val="hybridMultilevel"/>
    <w:tmpl w:val="CFF2F8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5DAA7A94"/>
    <w:multiLevelType w:val="hybridMultilevel"/>
    <w:tmpl w:val="BFF6D0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5DD330AE"/>
    <w:multiLevelType w:val="hybridMultilevel"/>
    <w:tmpl w:val="98547E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6F9D28DA"/>
    <w:multiLevelType w:val="hybridMultilevel"/>
    <w:tmpl w:val="F8FA42F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79B61ED0"/>
    <w:multiLevelType w:val="hybridMultilevel"/>
    <w:tmpl w:val="6D30235C"/>
    <w:lvl w:ilvl="0" w:tplc="100A0003">
      <w:start w:val="1"/>
      <w:numFmt w:val="bullet"/>
      <w:lvlText w:val="o"/>
      <w:lvlJc w:val="left"/>
      <w:pPr>
        <w:ind w:left="720" w:hanging="360"/>
      </w:pPr>
      <w:rPr>
        <w:rFonts w:ascii="Courier New" w:hAnsi="Courier New" w:cs="Courier New"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79C67A67"/>
    <w:multiLevelType w:val="hybridMultilevel"/>
    <w:tmpl w:val="21C4B6B4"/>
    <w:lvl w:ilvl="0" w:tplc="100A0011">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7D43539B"/>
    <w:multiLevelType w:val="hybridMultilevel"/>
    <w:tmpl w:val="4FB0A8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8"/>
  </w:num>
  <w:num w:numId="4">
    <w:abstractNumId w:val="13"/>
  </w:num>
  <w:num w:numId="5">
    <w:abstractNumId w:val="5"/>
  </w:num>
  <w:num w:numId="6">
    <w:abstractNumId w:val="4"/>
  </w:num>
  <w:num w:numId="7">
    <w:abstractNumId w:val="3"/>
  </w:num>
  <w:num w:numId="8">
    <w:abstractNumId w:val="2"/>
  </w:num>
  <w:num w:numId="9">
    <w:abstractNumId w:val="6"/>
  </w:num>
  <w:num w:numId="10">
    <w:abstractNumId w:val="10"/>
  </w:num>
  <w:num w:numId="11">
    <w:abstractNumId w:val="9"/>
  </w:num>
  <w:num w:numId="12">
    <w:abstractNumId w:val="0"/>
  </w:num>
  <w:num w:numId="13">
    <w:abstractNumId w:val="1"/>
  </w:num>
  <w:num w:numId="1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51"/>
    <w:rsid w:val="00002692"/>
    <w:rsid w:val="000067BC"/>
    <w:rsid w:val="0001045A"/>
    <w:rsid w:val="0001252D"/>
    <w:rsid w:val="0001582E"/>
    <w:rsid w:val="00017466"/>
    <w:rsid w:val="00023F7B"/>
    <w:rsid w:val="00026A2D"/>
    <w:rsid w:val="0003002D"/>
    <w:rsid w:val="00030CA7"/>
    <w:rsid w:val="00034D10"/>
    <w:rsid w:val="0004290A"/>
    <w:rsid w:val="0005646C"/>
    <w:rsid w:val="00060E19"/>
    <w:rsid w:val="000614EF"/>
    <w:rsid w:val="00061724"/>
    <w:rsid w:val="00063ED4"/>
    <w:rsid w:val="0006492A"/>
    <w:rsid w:val="000700EC"/>
    <w:rsid w:val="000723C9"/>
    <w:rsid w:val="00075F73"/>
    <w:rsid w:val="0008002C"/>
    <w:rsid w:val="0008102E"/>
    <w:rsid w:val="0008324E"/>
    <w:rsid w:val="00085275"/>
    <w:rsid w:val="000868C3"/>
    <w:rsid w:val="000879F9"/>
    <w:rsid w:val="0009317F"/>
    <w:rsid w:val="00097DDF"/>
    <w:rsid w:val="000A1327"/>
    <w:rsid w:val="000B07EF"/>
    <w:rsid w:val="000C384F"/>
    <w:rsid w:val="000C4ED8"/>
    <w:rsid w:val="000D0171"/>
    <w:rsid w:val="000D0B79"/>
    <w:rsid w:val="000E1EE0"/>
    <w:rsid w:val="000E61A8"/>
    <w:rsid w:val="000F0B50"/>
    <w:rsid w:val="00101368"/>
    <w:rsid w:val="0010316D"/>
    <w:rsid w:val="00103FEA"/>
    <w:rsid w:val="0010560D"/>
    <w:rsid w:val="00113E84"/>
    <w:rsid w:val="00115795"/>
    <w:rsid w:val="00116FDF"/>
    <w:rsid w:val="00120752"/>
    <w:rsid w:val="00122A82"/>
    <w:rsid w:val="001247C2"/>
    <w:rsid w:val="00124F2F"/>
    <w:rsid w:val="001278E5"/>
    <w:rsid w:val="0013532F"/>
    <w:rsid w:val="001408FA"/>
    <w:rsid w:val="00141C0B"/>
    <w:rsid w:val="00141DCD"/>
    <w:rsid w:val="00141E27"/>
    <w:rsid w:val="0014635E"/>
    <w:rsid w:val="001537E9"/>
    <w:rsid w:val="00161C15"/>
    <w:rsid w:val="00166A57"/>
    <w:rsid w:val="00171460"/>
    <w:rsid w:val="00176D0D"/>
    <w:rsid w:val="001812A4"/>
    <w:rsid w:val="00181E3B"/>
    <w:rsid w:val="00182A80"/>
    <w:rsid w:val="00192E49"/>
    <w:rsid w:val="001977F7"/>
    <w:rsid w:val="001A03E9"/>
    <w:rsid w:val="001B3FCB"/>
    <w:rsid w:val="001C0B05"/>
    <w:rsid w:val="001C3130"/>
    <w:rsid w:val="001D2184"/>
    <w:rsid w:val="001D2735"/>
    <w:rsid w:val="001E47FE"/>
    <w:rsid w:val="001F175E"/>
    <w:rsid w:val="00203360"/>
    <w:rsid w:val="00204162"/>
    <w:rsid w:val="00214DF0"/>
    <w:rsid w:val="0022033E"/>
    <w:rsid w:val="00223045"/>
    <w:rsid w:val="002304BE"/>
    <w:rsid w:val="0024292B"/>
    <w:rsid w:val="00250047"/>
    <w:rsid w:val="00257D51"/>
    <w:rsid w:val="00261C1A"/>
    <w:rsid w:val="0027682A"/>
    <w:rsid w:val="002813D0"/>
    <w:rsid w:val="00286131"/>
    <w:rsid w:val="00294820"/>
    <w:rsid w:val="002957CF"/>
    <w:rsid w:val="002A021E"/>
    <w:rsid w:val="002A12FD"/>
    <w:rsid w:val="002A21C8"/>
    <w:rsid w:val="002B3785"/>
    <w:rsid w:val="002B3B14"/>
    <w:rsid w:val="002B5D89"/>
    <w:rsid w:val="002C68D4"/>
    <w:rsid w:val="002D4671"/>
    <w:rsid w:val="002D6A87"/>
    <w:rsid w:val="003060BF"/>
    <w:rsid w:val="00307DA1"/>
    <w:rsid w:val="0031473F"/>
    <w:rsid w:val="00314EB1"/>
    <w:rsid w:val="00324C5C"/>
    <w:rsid w:val="00324D91"/>
    <w:rsid w:val="00331F7B"/>
    <w:rsid w:val="00336703"/>
    <w:rsid w:val="0034564F"/>
    <w:rsid w:val="00347408"/>
    <w:rsid w:val="00350340"/>
    <w:rsid w:val="00351C02"/>
    <w:rsid w:val="00355236"/>
    <w:rsid w:val="0035638F"/>
    <w:rsid w:val="0035671D"/>
    <w:rsid w:val="00364A9B"/>
    <w:rsid w:val="00381EDC"/>
    <w:rsid w:val="00385E1E"/>
    <w:rsid w:val="00390A65"/>
    <w:rsid w:val="00391938"/>
    <w:rsid w:val="003922DB"/>
    <w:rsid w:val="00396164"/>
    <w:rsid w:val="003A1C0C"/>
    <w:rsid w:val="003A6D3B"/>
    <w:rsid w:val="003B6DFB"/>
    <w:rsid w:val="003C3969"/>
    <w:rsid w:val="003C79E7"/>
    <w:rsid w:val="003D5607"/>
    <w:rsid w:val="003D5B1B"/>
    <w:rsid w:val="003D602B"/>
    <w:rsid w:val="003E46DD"/>
    <w:rsid w:val="003E6A13"/>
    <w:rsid w:val="003F4164"/>
    <w:rsid w:val="0040742D"/>
    <w:rsid w:val="0041110B"/>
    <w:rsid w:val="00420AA2"/>
    <w:rsid w:val="0042231E"/>
    <w:rsid w:val="004274C9"/>
    <w:rsid w:val="004311A5"/>
    <w:rsid w:val="00431C6E"/>
    <w:rsid w:val="004443D1"/>
    <w:rsid w:val="00445D22"/>
    <w:rsid w:val="00447986"/>
    <w:rsid w:val="00450BC2"/>
    <w:rsid w:val="00470503"/>
    <w:rsid w:val="00470681"/>
    <w:rsid w:val="004728FB"/>
    <w:rsid w:val="00473332"/>
    <w:rsid w:val="004777AA"/>
    <w:rsid w:val="00482BA5"/>
    <w:rsid w:val="00485435"/>
    <w:rsid w:val="00491C30"/>
    <w:rsid w:val="00494C56"/>
    <w:rsid w:val="00495783"/>
    <w:rsid w:val="004A3A07"/>
    <w:rsid w:val="004B5ABB"/>
    <w:rsid w:val="004B6F66"/>
    <w:rsid w:val="004C5BEC"/>
    <w:rsid w:val="004D555D"/>
    <w:rsid w:val="004E121E"/>
    <w:rsid w:val="004E62A9"/>
    <w:rsid w:val="004E6A9C"/>
    <w:rsid w:val="004F7944"/>
    <w:rsid w:val="004F7AC5"/>
    <w:rsid w:val="00503302"/>
    <w:rsid w:val="00507675"/>
    <w:rsid w:val="0051255A"/>
    <w:rsid w:val="00524C7E"/>
    <w:rsid w:val="00535DD8"/>
    <w:rsid w:val="0054057A"/>
    <w:rsid w:val="005409AA"/>
    <w:rsid w:val="00562536"/>
    <w:rsid w:val="0056369F"/>
    <w:rsid w:val="005640C0"/>
    <w:rsid w:val="00575109"/>
    <w:rsid w:val="00583E7D"/>
    <w:rsid w:val="00584D59"/>
    <w:rsid w:val="005851FB"/>
    <w:rsid w:val="005A50B6"/>
    <w:rsid w:val="005B183D"/>
    <w:rsid w:val="005B3744"/>
    <w:rsid w:val="005B3C0C"/>
    <w:rsid w:val="005D23B0"/>
    <w:rsid w:val="005D255D"/>
    <w:rsid w:val="005E056C"/>
    <w:rsid w:val="005E0F06"/>
    <w:rsid w:val="005E4098"/>
    <w:rsid w:val="005E4627"/>
    <w:rsid w:val="005F53C1"/>
    <w:rsid w:val="005F729D"/>
    <w:rsid w:val="0061055E"/>
    <w:rsid w:val="006223B9"/>
    <w:rsid w:val="00625BB1"/>
    <w:rsid w:val="00626394"/>
    <w:rsid w:val="006322EA"/>
    <w:rsid w:val="00632DE1"/>
    <w:rsid w:val="006410B1"/>
    <w:rsid w:val="00644A60"/>
    <w:rsid w:val="00655F90"/>
    <w:rsid w:val="00670292"/>
    <w:rsid w:val="006843F9"/>
    <w:rsid w:val="006902D8"/>
    <w:rsid w:val="00691069"/>
    <w:rsid w:val="00693AD3"/>
    <w:rsid w:val="00695ADD"/>
    <w:rsid w:val="006A0CB5"/>
    <w:rsid w:val="006A1D66"/>
    <w:rsid w:val="006A3116"/>
    <w:rsid w:val="006C1B0D"/>
    <w:rsid w:val="006C6D21"/>
    <w:rsid w:val="006D1D1C"/>
    <w:rsid w:val="006D2056"/>
    <w:rsid w:val="006F0AEC"/>
    <w:rsid w:val="006F388B"/>
    <w:rsid w:val="006F3DA8"/>
    <w:rsid w:val="006F7725"/>
    <w:rsid w:val="0070356A"/>
    <w:rsid w:val="00723320"/>
    <w:rsid w:val="00724FCC"/>
    <w:rsid w:val="00740502"/>
    <w:rsid w:val="00747984"/>
    <w:rsid w:val="00752922"/>
    <w:rsid w:val="00770B9F"/>
    <w:rsid w:val="00771837"/>
    <w:rsid w:val="0077260D"/>
    <w:rsid w:val="00773102"/>
    <w:rsid w:val="00777C70"/>
    <w:rsid w:val="0078226F"/>
    <w:rsid w:val="0078704D"/>
    <w:rsid w:val="00791FE3"/>
    <w:rsid w:val="00796908"/>
    <w:rsid w:val="00796F95"/>
    <w:rsid w:val="007A0051"/>
    <w:rsid w:val="007A03C9"/>
    <w:rsid w:val="007A2C90"/>
    <w:rsid w:val="007A353C"/>
    <w:rsid w:val="007A5727"/>
    <w:rsid w:val="007A7E71"/>
    <w:rsid w:val="007B0AF3"/>
    <w:rsid w:val="007B1784"/>
    <w:rsid w:val="007B20E2"/>
    <w:rsid w:val="007C09D0"/>
    <w:rsid w:val="007C238E"/>
    <w:rsid w:val="007C3381"/>
    <w:rsid w:val="007D07A3"/>
    <w:rsid w:val="007D16ED"/>
    <w:rsid w:val="007D19D2"/>
    <w:rsid w:val="007D66C5"/>
    <w:rsid w:val="007D7648"/>
    <w:rsid w:val="007E4600"/>
    <w:rsid w:val="007E55CA"/>
    <w:rsid w:val="007E5750"/>
    <w:rsid w:val="007F069C"/>
    <w:rsid w:val="007F28C4"/>
    <w:rsid w:val="0080698F"/>
    <w:rsid w:val="0081674D"/>
    <w:rsid w:val="00821D22"/>
    <w:rsid w:val="00826289"/>
    <w:rsid w:val="008336B5"/>
    <w:rsid w:val="008366F1"/>
    <w:rsid w:val="00841FCC"/>
    <w:rsid w:val="0084676E"/>
    <w:rsid w:val="00846D03"/>
    <w:rsid w:val="00852326"/>
    <w:rsid w:val="008702D0"/>
    <w:rsid w:val="00874516"/>
    <w:rsid w:val="00876C72"/>
    <w:rsid w:val="00880CC9"/>
    <w:rsid w:val="00897860"/>
    <w:rsid w:val="008A33F4"/>
    <w:rsid w:val="008B1CBF"/>
    <w:rsid w:val="008B5F11"/>
    <w:rsid w:val="008C2033"/>
    <w:rsid w:val="008C35C0"/>
    <w:rsid w:val="008C65C7"/>
    <w:rsid w:val="008D573E"/>
    <w:rsid w:val="008D6C7F"/>
    <w:rsid w:val="008E611B"/>
    <w:rsid w:val="008F1EC4"/>
    <w:rsid w:val="00903D34"/>
    <w:rsid w:val="009113CB"/>
    <w:rsid w:val="00917998"/>
    <w:rsid w:val="00917C61"/>
    <w:rsid w:val="00927AAD"/>
    <w:rsid w:val="00931BE1"/>
    <w:rsid w:val="009335B7"/>
    <w:rsid w:val="0094404D"/>
    <w:rsid w:val="00953738"/>
    <w:rsid w:val="009574CD"/>
    <w:rsid w:val="009642DB"/>
    <w:rsid w:val="009668B4"/>
    <w:rsid w:val="009771D5"/>
    <w:rsid w:val="0098525F"/>
    <w:rsid w:val="00985290"/>
    <w:rsid w:val="00986E9C"/>
    <w:rsid w:val="00992EE6"/>
    <w:rsid w:val="00995198"/>
    <w:rsid w:val="009A08B8"/>
    <w:rsid w:val="009A0CBB"/>
    <w:rsid w:val="009B39B0"/>
    <w:rsid w:val="009B3BD5"/>
    <w:rsid w:val="009C089C"/>
    <w:rsid w:val="009C4F89"/>
    <w:rsid w:val="009C5DF7"/>
    <w:rsid w:val="009D6B53"/>
    <w:rsid w:val="009D6EEE"/>
    <w:rsid w:val="009F11A1"/>
    <w:rsid w:val="009F4D7B"/>
    <w:rsid w:val="009F7E46"/>
    <w:rsid w:val="00A06CD5"/>
    <w:rsid w:val="00A131AE"/>
    <w:rsid w:val="00A2012D"/>
    <w:rsid w:val="00A23513"/>
    <w:rsid w:val="00A35982"/>
    <w:rsid w:val="00A35E5B"/>
    <w:rsid w:val="00A5344F"/>
    <w:rsid w:val="00A6051F"/>
    <w:rsid w:val="00A60EFF"/>
    <w:rsid w:val="00A7097E"/>
    <w:rsid w:val="00A76AB6"/>
    <w:rsid w:val="00A85EC2"/>
    <w:rsid w:val="00A929A8"/>
    <w:rsid w:val="00A93CF2"/>
    <w:rsid w:val="00AA1DDB"/>
    <w:rsid w:val="00AA731E"/>
    <w:rsid w:val="00AA7AD6"/>
    <w:rsid w:val="00AB0CE4"/>
    <w:rsid w:val="00AB48A0"/>
    <w:rsid w:val="00AC0FFF"/>
    <w:rsid w:val="00AC77BE"/>
    <w:rsid w:val="00AD0BB1"/>
    <w:rsid w:val="00AD7C94"/>
    <w:rsid w:val="00AE5CF2"/>
    <w:rsid w:val="00AF5FA5"/>
    <w:rsid w:val="00B02677"/>
    <w:rsid w:val="00B037C1"/>
    <w:rsid w:val="00B05F56"/>
    <w:rsid w:val="00B27313"/>
    <w:rsid w:val="00B32FA3"/>
    <w:rsid w:val="00B40E6E"/>
    <w:rsid w:val="00B41263"/>
    <w:rsid w:val="00B44121"/>
    <w:rsid w:val="00B44F7C"/>
    <w:rsid w:val="00B45A6E"/>
    <w:rsid w:val="00B47FE4"/>
    <w:rsid w:val="00B52C04"/>
    <w:rsid w:val="00B5376E"/>
    <w:rsid w:val="00B54344"/>
    <w:rsid w:val="00B56818"/>
    <w:rsid w:val="00B66E89"/>
    <w:rsid w:val="00B77517"/>
    <w:rsid w:val="00B77AA4"/>
    <w:rsid w:val="00B77BB8"/>
    <w:rsid w:val="00B80002"/>
    <w:rsid w:val="00B91400"/>
    <w:rsid w:val="00BA111F"/>
    <w:rsid w:val="00BA1B3B"/>
    <w:rsid w:val="00BB09C6"/>
    <w:rsid w:val="00BB3154"/>
    <w:rsid w:val="00BB6942"/>
    <w:rsid w:val="00BC0C91"/>
    <w:rsid w:val="00BD1B79"/>
    <w:rsid w:val="00BE08D8"/>
    <w:rsid w:val="00BE0F2D"/>
    <w:rsid w:val="00BE1653"/>
    <w:rsid w:val="00BE45F9"/>
    <w:rsid w:val="00BF0CA6"/>
    <w:rsid w:val="00C00B8D"/>
    <w:rsid w:val="00C0212C"/>
    <w:rsid w:val="00C13290"/>
    <w:rsid w:val="00C14DDE"/>
    <w:rsid w:val="00C16622"/>
    <w:rsid w:val="00C2085F"/>
    <w:rsid w:val="00C20AFE"/>
    <w:rsid w:val="00C27FA2"/>
    <w:rsid w:val="00C30E74"/>
    <w:rsid w:val="00C33FAA"/>
    <w:rsid w:val="00C356EE"/>
    <w:rsid w:val="00C36A27"/>
    <w:rsid w:val="00C430AC"/>
    <w:rsid w:val="00C539DC"/>
    <w:rsid w:val="00C55DD5"/>
    <w:rsid w:val="00C654D8"/>
    <w:rsid w:val="00C80BFC"/>
    <w:rsid w:val="00C86F28"/>
    <w:rsid w:val="00C91998"/>
    <w:rsid w:val="00CA1B2F"/>
    <w:rsid w:val="00CA372F"/>
    <w:rsid w:val="00CB1D2E"/>
    <w:rsid w:val="00CB1EC3"/>
    <w:rsid w:val="00CB3ADB"/>
    <w:rsid w:val="00CC10E8"/>
    <w:rsid w:val="00CC1D9A"/>
    <w:rsid w:val="00CC2226"/>
    <w:rsid w:val="00CC66C4"/>
    <w:rsid w:val="00CD0048"/>
    <w:rsid w:val="00CD02E9"/>
    <w:rsid w:val="00CD4B59"/>
    <w:rsid w:val="00CE103A"/>
    <w:rsid w:val="00CE5ABA"/>
    <w:rsid w:val="00CF7127"/>
    <w:rsid w:val="00D0136A"/>
    <w:rsid w:val="00D105EA"/>
    <w:rsid w:val="00D10621"/>
    <w:rsid w:val="00D12758"/>
    <w:rsid w:val="00D20510"/>
    <w:rsid w:val="00D2183B"/>
    <w:rsid w:val="00D218F6"/>
    <w:rsid w:val="00D3295A"/>
    <w:rsid w:val="00D40F65"/>
    <w:rsid w:val="00D56183"/>
    <w:rsid w:val="00D721E0"/>
    <w:rsid w:val="00D760DB"/>
    <w:rsid w:val="00DA2A55"/>
    <w:rsid w:val="00DA3434"/>
    <w:rsid w:val="00DA3F54"/>
    <w:rsid w:val="00DB3CB9"/>
    <w:rsid w:val="00DB568C"/>
    <w:rsid w:val="00DC411A"/>
    <w:rsid w:val="00DC7E05"/>
    <w:rsid w:val="00DE514D"/>
    <w:rsid w:val="00DE6AE3"/>
    <w:rsid w:val="00DE75BF"/>
    <w:rsid w:val="00DE7957"/>
    <w:rsid w:val="00DF2BF2"/>
    <w:rsid w:val="00DF4A3F"/>
    <w:rsid w:val="00E138BC"/>
    <w:rsid w:val="00E20ED3"/>
    <w:rsid w:val="00E27E04"/>
    <w:rsid w:val="00E341DD"/>
    <w:rsid w:val="00E42FFF"/>
    <w:rsid w:val="00E51417"/>
    <w:rsid w:val="00E553CE"/>
    <w:rsid w:val="00E55A3B"/>
    <w:rsid w:val="00E55A3F"/>
    <w:rsid w:val="00E566D4"/>
    <w:rsid w:val="00E60FAB"/>
    <w:rsid w:val="00E66C24"/>
    <w:rsid w:val="00E8328A"/>
    <w:rsid w:val="00E84DB7"/>
    <w:rsid w:val="00E9177D"/>
    <w:rsid w:val="00E92A90"/>
    <w:rsid w:val="00E93053"/>
    <w:rsid w:val="00E939BF"/>
    <w:rsid w:val="00E94617"/>
    <w:rsid w:val="00E94F62"/>
    <w:rsid w:val="00EA57BF"/>
    <w:rsid w:val="00EB2E2E"/>
    <w:rsid w:val="00EC507A"/>
    <w:rsid w:val="00ED0736"/>
    <w:rsid w:val="00ED23C1"/>
    <w:rsid w:val="00ED6C83"/>
    <w:rsid w:val="00ED769D"/>
    <w:rsid w:val="00EE335E"/>
    <w:rsid w:val="00F01779"/>
    <w:rsid w:val="00F02AE3"/>
    <w:rsid w:val="00F05234"/>
    <w:rsid w:val="00F0771B"/>
    <w:rsid w:val="00F23B1C"/>
    <w:rsid w:val="00F24A12"/>
    <w:rsid w:val="00F25F9C"/>
    <w:rsid w:val="00F30013"/>
    <w:rsid w:val="00F326B6"/>
    <w:rsid w:val="00F34DE9"/>
    <w:rsid w:val="00F40BBE"/>
    <w:rsid w:val="00F45F66"/>
    <w:rsid w:val="00F54315"/>
    <w:rsid w:val="00F54620"/>
    <w:rsid w:val="00F633CD"/>
    <w:rsid w:val="00F65FE3"/>
    <w:rsid w:val="00F6759D"/>
    <w:rsid w:val="00F70D46"/>
    <w:rsid w:val="00F716DE"/>
    <w:rsid w:val="00F74B07"/>
    <w:rsid w:val="00F84E9A"/>
    <w:rsid w:val="00FB357F"/>
    <w:rsid w:val="00FB3C0E"/>
    <w:rsid w:val="00FB3ED8"/>
    <w:rsid w:val="00FD63AB"/>
    <w:rsid w:val="00FE35CF"/>
    <w:rsid w:val="00FE4809"/>
    <w:rsid w:val="00FE5882"/>
    <w:rsid w:val="00FE5E4B"/>
    <w:rsid w:val="00FE7FD2"/>
    <w:rsid w:val="00FF40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7463A"/>
  <w15:docId w15:val="{93232357-9147-2B42-85B9-7DAE79FE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A311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A372F"/>
    <w:pPr>
      <w:spacing w:after="0" w:line="240" w:lineRule="auto"/>
    </w:pPr>
    <w:rPr>
      <w:rFonts w:eastAsiaTheme="minorEastAsia"/>
      <w:lang w:eastAsia="es-GT"/>
    </w:rPr>
  </w:style>
  <w:style w:type="character" w:customStyle="1" w:styleId="NoSpacingChar">
    <w:name w:val="No Spacing Char"/>
    <w:basedOn w:val="DefaultParagraphFont"/>
    <w:link w:val="NoSpacing"/>
    <w:uiPriority w:val="1"/>
    <w:rsid w:val="00CA372F"/>
    <w:rPr>
      <w:rFonts w:eastAsiaTheme="minorEastAsia"/>
      <w:lang w:eastAsia="es-GT"/>
    </w:rPr>
  </w:style>
  <w:style w:type="paragraph" w:styleId="BalloonText">
    <w:name w:val="Balloon Text"/>
    <w:basedOn w:val="Normal"/>
    <w:link w:val="BalloonTextChar"/>
    <w:uiPriority w:val="99"/>
    <w:semiHidden/>
    <w:unhideWhenUsed/>
    <w:rsid w:val="00336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703"/>
    <w:rPr>
      <w:rFonts w:ascii="Tahoma" w:hAnsi="Tahoma" w:cs="Tahoma"/>
      <w:sz w:val="16"/>
      <w:szCs w:val="16"/>
    </w:rPr>
  </w:style>
  <w:style w:type="paragraph" w:styleId="ListParagraph">
    <w:name w:val="List Paragraph"/>
    <w:aliases w:val="Párrafo de lista 2"/>
    <w:basedOn w:val="Normal"/>
    <w:link w:val="ListParagraphChar"/>
    <w:uiPriority w:val="34"/>
    <w:qFormat/>
    <w:rsid w:val="00002692"/>
    <w:pPr>
      <w:ind w:left="720"/>
      <w:contextualSpacing/>
    </w:pPr>
  </w:style>
  <w:style w:type="character" w:customStyle="1" w:styleId="ListParagraphChar">
    <w:name w:val="List Paragraph Char"/>
    <w:aliases w:val="Párrafo de lista 2 Char"/>
    <w:basedOn w:val="DefaultParagraphFont"/>
    <w:link w:val="ListParagraph"/>
    <w:uiPriority w:val="34"/>
    <w:qFormat/>
    <w:rsid w:val="00002692"/>
  </w:style>
  <w:style w:type="table" w:styleId="TableGrid">
    <w:name w:val="Table Grid"/>
    <w:basedOn w:val="TableNormal"/>
    <w:uiPriority w:val="59"/>
    <w:rsid w:val="0000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2692"/>
    <w:pPr>
      <w:spacing w:line="240" w:lineRule="auto"/>
    </w:pPr>
    <w:rPr>
      <w:rFonts w:eastAsiaTheme="minorEastAsia"/>
      <w:b/>
      <w:bCs/>
      <w:color w:val="4F81BD" w:themeColor="accent1"/>
      <w:sz w:val="18"/>
      <w:szCs w:val="18"/>
      <w:lang w:eastAsia="es-GT"/>
    </w:rPr>
  </w:style>
  <w:style w:type="paragraph" w:customStyle="1" w:styleId="Default">
    <w:name w:val="Default"/>
    <w:rsid w:val="00002692"/>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02692"/>
    <w:pPr>
      <w:tabs>
        <w:tab w:val="center" w:pos="4419"/>
        <w:tab w:val="right" w:pos="8838"/>
      </w:tabs>
      <w:spacing w:after="0" w:line="240" w:lineRule="auto"/>
    </w:pPr>
    <w:rPr>
      <w:rFonts w:ascii="Calibri" w:hAnsi="Calibri" w:cs="Calibri"/>
    </w:rPr>
  </w:style>
  <w:style w:type="character" w:customStyle="1" w:styleId="HeaderChar">
    <w:name w:val="Header Char"/>
    <w:basedOn w:val="DefaultParagraphFont"/>
    <w:link w:val="Header"/>
    <w:uiPriority w:val="99"/>
    <w:qFormat/>
    <w:rsid w:val="00002692"/>
    <w:rPr>
      <w:rFonts w:ascii="Calibri" w:hAnsi="Calibri" w:cs="Calibri"/>
    </w:rPr>
  </w:style>
  <w:style w:type="character" w:customStyle="1" w:styleId="FootnoteTextChar">
    <w:name w:val="Footnote Text Char"/>
    <w:basedOn w:val="DefaultParagraphFont"/>
    <w:link w:val="FootnoteText"/>
    <w:uiPriority w:val="99"/>
    <w:semiHidden/>
    <w:rsid w:val="00002692"/>
    <w:rPr>
      <w:sz w:val="20"/>
      <w:szCs w:val="20"/>
    </w:rPr>
  </w:style>
  <w:style w:type="paragraph" w:styleId="FootnoteText">
    <w:name w:val="footnote text"/>
    <w:basedOn w:val="Normal"/>
    <w:link w:val="FootnoteTextChar"/>
    <w:uiPriority w:val="99"/>
    <w:semiHidden/>
    <w:unhideWhenUsed/>
    <w:rsid w:val="00002692"/>
    <w:pPr>
      <w:spacing w:after="0" w:line="240" w:lineRule="auto"/>
    </w:pPr>
    <w:rPr>
      <w:sz w:val="20"/>
      <w:szCs w:val="20"/>
    </w:rPr>
  </w:style>
  <w:style w:type="character" w:styleId="Hyperlink">
    <w:name w:val="Hyperlink"/>
    <w:basedOn w:val="DefaultParagraphFont"/>
    <w:uiPriority w:val="99"/>
    <w:unhideWhenUsed/>
    <w:rsid w:val="00002692"/>
    <w:rPr>
      <w:color w:val="0000FF" w:themeColor="hyperlink"/>
      <w:u w:val="single"/>
    </w:rPr>
  </w:style>
  <w:style w:type="paragraph" w:styleId="Footer">
    <w:name w:val="footer"/>
    <w:basedOn w:val="Normal"/>
    <w:link w:val="FooterChar"/>
    <w:uiPriority w:val="99"/>
    <w:unhideWhenUsed/>
    <w:rsid w:val="0070356A"/>
    <w:pPr>
      <w:tabs>
        <w:tab w:val="center" w:pos="4419"/>
        <w:tab w:val="right" w:pos="8838"/>
      </w:tabs>
      <w:spacing w:after="0" w:line="240" w:lineRule="auto"/>
    </w:pPr>
  </w:style>
  <w:style w:type="character" w:customStyle="1" w:styleId="FooterChar">
    <w:name w:val="Footer Char"/>
    <w:basedOn w:val="DefaultParagraphFont"/>
    <w:link w:val="Footer"/>
    <w:uiPriority w:val="99"/>
    <w:rsid w:val="0070356A"/>
  </w:style>
  <w:style w:type="character" w:customStyle="1" w:styleId="Heading2Char">
    <w:name w:val="Heading 2 Char"/>
    <w:basedOn w:val="DefaultParagraphFont"/>
    <w:link w:val="Heading2"/>
    <w:uiPriority w:val="9"/>
    <w:semiHidden/>
    <w:rsid w:val="006A3116"/>
    <w:rPr>
      <w:rFonts w:asciiTheme="majorHAnsi" w:eastAsiaTheme="majorEastAsia" w:hAnsiTheme="majorHAnsi" w:cstheme="majorBidi"/>
      <w:b/>
      <w:bCs/>
      <w:color w:val="4F81BD" w:themeColor="accent1"/>
      <w:sz w:val="26"/>
      <w:szCs w:val="26"/>
      <w:lang w:val="es-ES_tradnl" w:eastAsia="es-ES"/>
    </w:rPr>
  </w:style>
  <w:style w:type="paragraph" w:styleId="BodyText">
    <w:name w:val="Body Text"/>
    <w:basedOn w:val="Normal"/>
    <w:link w:val="BodyTextChar"/>
    <w:rsid w:val="006A3116"/>
    <w:pPr>
      <w:suppressAutoHyphens/>
      <w:spacing w:after="140"/>
    </w:pPr>
    <w:rPr>
      <w:rFonts w:ascii="Liberation Serif" w:eastAsia="Droid Sans Fallback" w:hAnsi="Liberation Serif" w:cs="Droid Sans Devanagari"/>
      <w:kern w:val="2"/>
      <w:sz w:val="24"/>
      <w:szCs w:val="24"/>
      <w:lang w:eastAsia="zh-CN" w:bidi="hi-IN"/>
    </w:rPr>
  </w:style>
  <w:style w:type="character" w:customStyle="1" w:styleId="BodyTextChar">
    <w:name w:val="Body Text Char"/>
    <w:basedOn w:val="DefaultParagraphFont"/>
    <w:link w:val="BodyText"/>
    <w:rsid w:val="006A3116"/>
    <w:rPr>
      <w:rFonts w:ascii="Liberation Serif" w:eastAsia="Droid Sans Fallback" w:hAnsi="Liberation Serif" w:cs="Droid Sans Devanagari"/>
      <w:kern w:val="2"/>
      <w:sz w:val="24"/>
      <w:szCs w:val="24"/>
      <w:lang w:eastAsia="zh-CN" w:bidi="hi-IN"/>
    </w:rPr>
  </w:style>
  <w:style w:type="paragraph" w:customStyle="1" w:styleId="Figure">
    <w:name w:val="Figure"/>
    <w:basedOn w:val="Caption"/>
    <w:qFormat/>
    <w:rsid w:val="006A3116"/>
    <w:pPr>
      <w:suppressLineNumbers/>
      <w:suppressAutoHyphens/>
      <w:spacing w:before="120" w:after="120"/>
    </w:pPr>
    <w:rPr>
      <w:rFonts w:ascii="Liberation Serif" w:eastAsia="Droid Sans Fallback" w:hAnsi="Liberation Serif" w:cs="Droid Sans Devanagari"/>
      <w:b w:val="0"/>
      <w:bCs w:val="0"/>
      <w:i/>
      <w:iCs/>
      <w:color w:val="auto"/>
      <w:kern w:val="2"/>
      <w:sz w:val="24"/>
      <w:szCs w:val="24"/>
      <w:lang w:eastAsia="zh-CN" w:bidi="hi-IN"/>
    </w:rPr>
  </w:style>
  <w:style w:type="character" w:styleId="FootnoteReference">
    <w:name w:val="footnote reference"/>
    <w:basedOn w:val="DefaultParagraphFont"/>
    <w:uiPriority w:val="99"/>
    <w:semiHidden/>
    <w:unhideWhenUsed/>
    <w:rsid w:val="00DE514D"/>
    <w:rPr>
      <w:vertAlign w:val="superscript"/>
    </w:rPr>
  </w:style>
  <w:style w:type="paragraph" w:styleId="NormalWeb">
    <w:name w:val="Normal (Web)"/>
    <w:basedOn w:val="Normal"/>
    <w:uiPriority w:val="99"/>
    <w:semiHidden/>
    <w:unhideWhenUsed/>
    <w:rsid w:val="000868C3"/>
    <w:pPr>
      <w:spacing w:before="100" w:beforeAutospacing="1" w:after="100" w:afterAutospacing="1" w:line="240" w:lineRule="auto"/>
    </w:pPr>
    <w:rPr>
      <w:rFonts w:ascii="Times New Roman" w:eastAsiaTheme="minorEastAsia" w:hAnsi="Times New Roman" w:cs="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187993">
      <w:bodyDiv w:val="1"/>
      <w:marLeft w:val="0"/>
      <w:marRight w:val="0"/>
      <w:marTop w:val="0"/>
      <w:marBottom w:val="0"/>
      <w:divBdr>
        <w:top w:val="none" w:sz="0" w:space="0" w:color="auto"/>
        <w:left w:val="none" w:sz="0" w:space="0" w:color="auto"/>
        <w:bottom w:val="none" w:sz="0" w:space="0" w:color="auto"/>
        <w:right w:val="none" w:sz="0" w:space="0" w:color="auto"/>
      </w:divBdr>
    </w:div>
    <w:div w:id="697893606">
      <w:bodyDiv w:val="1"/>
      <w:marLeft w:val="0"/>
      <w:marRight w:val="0"/>
      <w:marTop w:val="0"/>
      <w:marBottom w:val="0"/>
      <w:divBdr>
        <w:top w:val="none" w:sz="0" w:space="0" w:color="auto"/>
        <w:left w:val="none" w:sz="0" w:space="0" w:color="auto"/>
        <w:bottom w:val="none" w:sz="0" w:space="0" w:color="auto"/>
        <w:right w:val="none" w:sz="0" w:space="0" w:color="auto"/>
      </w:divBdr>
    </w:div>
    <w:div w:id="1322587388">
      <w:bodyDiv w:val="1"/>
      <w:marLeft w:val="0"/>
      <w:marRight w:val="0"/>
      <w:marTop w:val="0"/>
      <w:marBottom w:val="0"/>
      <w:divBdr>
        <w:top w:val="none" w:sz="0" w:space="0" w:color="auto"/>
        <w:left w:val="none" w:sz="0" w:space="0" w:color="auto"/>
        <w:bottom w:val="none" w:sz="0" w:space="0" w:color="auto"/>
        <w:right w:val="none" w:sz="0" w:space="0" w:color="auto"/>
      </w:divBdr>
    </w:div>
    <w:div w:id="1615136459">
      <w:bodyDiv w:val="1"/>
      <w:marLeft w:val="0"/>
      <w:marRight w:val="0"/>
      <w:marTop w:val="0"/>
      <w:marBottom w:val="0"/>
      <w:divBdr>
        <w:top w:val="none" w:sz="0" w:space="0" w:color="auto"/>
        <w:left w:val="none" w:sz="0" w:space="0" w:color="auto"/>
        <w:bottom w:val="none" w:sz="0" w:space="0" w:color="auto"/>
        <w:right w:val="none" w:sz="0" w:space="0" w:color="auto"/>
      </w:divBdr>
    </w:div>
    <w:div w:id="201418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portalong.minfin.gob.gt/" TargetMode="External"/><Relationship Id="rId3" Type="http://schemas.openxmlformats.org/officeDocument/2006/relationships/styles" Target="styles.xml"/><Relationship Id="rId21" Type="http://schemas.openxmlformats.org/officeDocument/2006/relationships/hyperlink" Target="https://prestamosexternos.minfin.gob.gt/"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datos.minfin.gob.g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ansparenciapresupuestaria.minfin.gob.gt/" TargetMode="External"/><Relationship Id="rId20" Type="http://schemas.openxmlformats.org/officeDocument/2006/relationships/hyperlink" Target="https://portalgl.minfin.gob.g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portalfideicomisos.minfin.gob.g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contreras\AppData\Local\Microsoft\Windows\Temporary%20Internet%20Files\Content.Outlook\5XEKGSH5\DIRECCION%20FINANCIERA%20Graficas%20a%20Nov-30-20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contreras\AppData\Local\Microsoft\Windows\Temporary%20Internet%20Files\Content.Outlook\5XEKGSH5\DIRECCION%20FINANCIERA%20Graficas%20a%20Nov-30-20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contreras\AppData\Local\Microsoft\Windows\Temporary%20Internet%20Files\Content.Outlook\5XEKGSH5\DIRECCION%20FINANCIERA%20Graficas%20a%20Nov-30-2021%20(00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ccontreras\AppData\Local\Microsoft\Windows\Temporary%20Internet%20Files\Content.Outlook\5XEKGSH5\DIRECCION%20FINANCIERA%20Graficas%20a%20Nov-30-2021%20(00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ccontreras\AppData\Local\Microsoft\Windows\Temporary%20Internet%20Files\Content.Outlook\5XEKGSH5\DIRECCION%20FINANCIERA%20Graficas%20a%20Nov-30-2021%20(00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ccontreras\AppData\Local\Microsoft\Windows\Temporary%20Internet%20Files\Content.Outlook\5XEKGSH5\DIRECCION%20FINANCIERA%20Graficas%20a%20Nov-30-2021%20(0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latin typeface="Copperplate32bc" pitchFamily="2" charset="0"/>
              </a:defRPr>
            </a:pPr>
            <a:r>
              <a:rPr lang="es-GT" sz="1100" b="1" i="0" baseline="0">
                <a:effectLst/>
                <a:latin typeface="Calibri" panose="020F0502020204030204" pitchFamily="34" charset="0"/>
                <a:cs typeface="Calibri" panose="020F0502020204030204" pitchFamily="34" charset="0"/>
              </a:rPr>
              <a:t>Ejecución presupuestaria </a:t>
            </a:r>
          </a:p>
          <a:p>
            <a:pPr>
              <a:defRPr>
                <a:latin typeface="Copperplate32bc" pitchFamily="2" charset="0"/>
              </a:defRPr>
            </a:pPr>
            <a:r>
              <a:rPr lang="es-GT" sz="1100" b="1" i="0" baseline="0">
                <a:effectLst/>
                <a:latin typeface="Calibri" panose="020F0502020204030204" pitchFamily="34" charset="0"/>
                <a:cs typeface="Calibri" panose="020F0502020204030204" pitchFamily="34" charset="0"/>
              </a:rPr>
              <a:t>al tercer cuatrimestre año 2021</a:t>
            </a:r>
          </a:p>
          <a:p>
            <a:pPr>
              <a:defRPr>
                <a:latin typeface="Copperplate32bc" pitchFamily="2" charset="0"/>
              </a:defRPr>
            </a:pPr>
            <a:r>
              <a:rPr lang="es-GT" sz="1100" b="1" i="0" baseline="0">
                <a:effectLst/>
                <a:latin typeface="Calibri" panose="020F0502020204030204" pitchFamily="34" charset="0"/>
                <a:cs typeface="Calibri" panose="020F0502020204030204" pitchFamily="34" charset="0"/>
              </a:rPr>
              <a:t>(en millones de Quetzales</a:t>
            </a:r>
          </a:p>
        </c:rich>
      </c:tx>
      <c:layout>
        <c:manualLayout>
          <c:xMode val="edge"/>
          <c:yMode val="edge"/>
          <c:x val="0.36111949129666943"/>
          <c:y val="2.4585125998770749E-2"/>
        </c:manualLayout>
      </c:layout>
      <c:overlay val="0"/>
    </c:title>
    <c:autoTitleDeleted val="0"/>
    <c:plotArea>
      <c:layout>
        <c:manualLayout>
          <c:layoutTarget val="inner"/>
          <c:xMode val="edge"/>
          <c:yMode val="edge"/>
          <c:x val="0.20193426870101824"/>
          <c:y val="0.21644037481740133"/>
          <c:w val="0.72510279766706409"/>
          <c:h val="0.59560594292229307"/>
        </c:manualLayout>
      </c:layout>
      <c:barChart>
        <c:barDir val="col"/>
        <c:grouping val="clustered"/>
        <c:varyColors val="0"/>
        <c:ser>
          <c:idx val="0"/>
          <c:order val="0"/>
          <c:tx>
            <c:strRef>
              <c:f>Hoja1!$D$28</c:f>
              <c:strCache>
                <c:ptCount val="1"/>
              </c:strCache>
            </c:strRef>
          </c:tx>
          <c:spPr>
            <a:solidFill>
              <a:srgbClr val="FF9900"/>
            </a:solidFill>
            <a:ln>
              <a:solidFill>
                <a:schemeClr val="tx2">
                  <a:lumMod val="60000"/>
                  <a:lumOff val="40000"/>
                </a:schemeClr>
              </a:solidFill>
            </a:ln>
          </c:spPr>
          <c:invertIfNegative val="0"/>
          <c:dPt>
            <c:idx val="0"/>
            <c:invertIfNegative val="0"/>
            <c:bubble3D val="0"/>
            <c:spPr>
              <a:solidFill>
                <a:schemeClr val="tx2">
                  <a:lumMod val="75000"/>
                </a:schemeClr>
              </a:solidFill>
              <a:ln>
                <a:noFill/>
              </a:ln>
            </c:spPr>
            <c:extLst>
              <c:ext xmlns:c16="http://schemas.microsoft.com/office/drawing/2014/chart" uri="{C3380CC4-5D6E-409C-BE32-E72D297353CC}">
                <c16:uniqueId val="{00000001-D1BC-A14A-8520-A22A15927943}"/>
              </c:ext>
            </c:extLst>
          </c:dPt>
          <c:dPt>
            <c:idx val="1"/>
            <c:invertIfNegative val="0"/>
            <c:bubble3D val="0"/>
            <c:spPr>
              <a:solidFill>
                <a:schemeClr val="accent5"/>
              </a:solidFill>
              <a:ln>
                <a:noFill/>
              </a:ln>
            </c:spPr>
            <c:extLst>
              <c:ext xmlns:c16="http://schemas.microsoft.com/office/drawing/2014/chart" uri="{C3380CC4-5D6E-409C-BE32-E72D297353CC}">
                <c16:uniqueId val="{00000003-D1BC-A14A-8520-A22A15927943}"/>
              </c:ext>
            </c:extLst>
          </c:dPt>
          <c:dPt>
            <c:idx val="2"/>
            <c:invertIfNegative val="0"/>
            <c:bubble3D val="0"/>
            <c:spPr>
              <a:solidFill>
                <a:schemeClr val="accent1">
                  <a:lumMod val="60000"/>
                  <a:lumOff val="40000"/>
                </a:schemeClr>
              </a:solidFill>
              <a:ln>
                <a:noFill/>
              </a:ln>
            </c:spPr>
            <c:extLst>
              <c:ext xmlns:c16="http://schemas.microsoft.com/office/drawing/2014/chart" uri="{C3380CC4-5D6E-409C-BE32-E72D297353CC}">
                <c16:uniqueId val="{00000005-D1BC-A14A-8520-A22A15927943}"/>
              </c:ext>
            </c:extLst>
          </c:dPt>
          <c:dPt>
            <c:idx val="3"/>
            <c:invertIfNegative val="0"/>
            <c:bubble3D val="0"/>
            <c:spPr>
              <a:solidFill>
                <a:schemeClr val="accent3">
                  <a:lumMod val="75000"/>
                </a:schemeClr>
              </a:solidFill>
              <a:ln>
                <a:solidFill>
                  <a:schemeClr val="tx2">
                    <a:lumMod val="60000"/>
                    <a:lumOff val="40000"/>
                  </a:schemeClr>
                </a:solidFill>
              </a:ln>
            </c:spPr>
            <c:extLst>
              <c:ext xmlns:c16="http://schemas.microsoft.com/office/drawing/2014/chart" uri="{C3380CC4-5D6E-409C-BE32-E72D297353CC}">
                <c16:uniqueId val="{00000007-D1BC-A14A-8520-A22A15927943}"/>
              </c:ext>
            </c:extLst>
          </c:dPt>
          <c:cat>
            <c:strRef>
              <c:f>Hoja1!$F$27:$H$27</c:f>
              <c:strCache>
                <c:ptCount val="3"/>
                <c:pt idx="0">
                  <c:v>Vigente</c:v>
                </c:pt>
                <c:pt idx="1">
                  <c:v>Ejecutado</c:v>
                </c:pt>
                <c:pt idx="2">
                  <c:v>Saldo por ejecutar</c:v>
                </c:pt>
              </c:strCache>
            </c:strRef>
          </c:cat>
          <c:val>
            <c:numRef>
              <c:f>Hoja1!$F$28:$H$28</c:f>
              <c:numCache>
                <c:formatCode>#,##0.00</c:formatCode>
                <c:ptCount val="3"/>
                <c:pt idx="0">
                  <c:v>339400000</c:v>
                </c:pt>
                <c:pt idx="1">
                  <c:v>258954419.06999999</c:v>
                </c:pt>
                <c:pt idx="2">
                  <c:v>80445580.930000007</c:v>
                </c:pt>
              </c:numCache>
            </c:numRef>
          </c:val>
          <c:extLst>
            <c:ext xmlns:c16="http://schemas.microsoft.com/office/drawing/2014/chart" uri="{C3380CC4-5D6E-409C-BE32-E72D297353CC}">
              <c16:uniqueId val="{00000008-D1BC-A14A-8520-A22A15927943}"/>
            </c:ext>
          </c:extLst>
        </c:ser>
        <c:dLbls>
          <c:showLegendKey val="0"/>
          <c:showVal val="0"/>
          <c:showCatName val="0"/>
          <c:showSerName val="0"/>
          <c:showPercent val="0"/>
          <c:showBubbleSize val="0"/>
        </c:dLbls>
        <c:gapWidth val="150"/>
        <c:axId val="63485056"/>
        <c:axId val="63486592"/>
      </c:barChart>
      <c:catAx>
        <c:axId val="63485056"/>
        <c:scaling>
          <c:orientation val="minMax"/>
        </c:scaling>
        <c:delete val="0"/>
        <c:axPos val="b"/>
        <c:numFmt formatCode="General" sourceLinked="0"/>
        <c:majorTickMark val="out"/>
        <c:minorTickMark val="none"/>
        <c:tickLblPos val="nextTo"/>
        <c:txPr>
          <a:bodyPr/>
          <a:lstStyle/>
          <a:p>
            <a:pPr>
              <a:defRPr>
                <a:latin typeface="Copperplate32bc" pitchFamily="2" charset="0"/>
              </a:defRPr>
            </a:pPr>
            <a:endParaRPr lang="en-GT"/>
          </a:p>
        </c:txPr>
        <c:crossAx val="63486592"/>
        <c:crosses val="autoZero"/>
        <c:auto val="1"/>
        <c:lblAlgn val="ctr"/>
        <c:lblOffset val="100"/>
        <c:noMultiLvlLbl val="0"/>
      </c:catAx>
      <c:valAx>
        <c:axId val="63486592"/>
        <c:scaling>
          <c:orientation val="minMax"/>
        </c:scaling>
        <c:delete val="0"/>
        <c:axPos val="l"/>
        <c:majorGridlines>
          <c:spPr>
            <a:ln>
              <a:solidFill>
                <a:schemeClr val="bg1">
                  <a:lumMod val="75000"/>
                </a:schemeClr>
              </a:solidFill>
            </a:ln>
          </c:spPr>
        </c:majorGridlines>
        <c:numFmt formatCode="#,##0.00" sourceLinked="1"/>
        <c:majorTickMark val="out"/>
        <c:minorTickMark val="none"/>
        <c:tickLblPos val="nextTo"/>
        <c:txPr>
          <a:bodyPr/>
          <a:lstStyle/>
          <a:p>
            <a:pPr>
              <a:defRPr>
                <a:latin typeface="Copperplate32bc" pitchFamily="2" charset="0"/>
              </a:defRPr>
            </a:pPr>
            <a:endParaRPr lang="en-GT"/>
          </a:p>
        </c:txPr>
        <c:crossAx val="63485056"/>
        <c:crosses val="autoZero"/>
        <c:crossBetween val="between"/>
      </c:valAx>
      <c:dTable>
        <c:showHorzBorder val="1"/>
        <c:showVertBorder val="1"/>
        <c:showOutline val="1"/>
        <c:showKeys val="0"/>
      </c:dTable>
      <c:spPr>
        <a:ln>
          <a:solidFill>
            <a:schemeClr val="bg1">
              <a:lumMod val="75000"/>
            </a:schemeClr>
          </a:solid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latin typeface="Copperplate32bc" pitchFamily="2" charset="0"/>
              </a:defRPr>
            </a:pPr>
            <a:r>
              <a:rPr lang="es-GT" sz="1100" b="1" i="0" baseline="0">
                <a:effectLst/>
                <a:latin typeface="Calibri" panose="020F0502020204030204" pitchFamily="34" charset="0"/>
                <a:cs typeface="Calibri" panose="020F0502020204030204" pitchFamily="34" charset="0"/>
              </a:rPr>
              <a:t>Presupuesto ejecutado</a:t>
            </a:r>
          </a:p>
          <a:p>
            <a:pPr>
              <a:defRPr>
                <a:latin typeface="Copperplate32bc" pitchFamily="2" charset="0"/>
              </a:defRPr>
            </a:pPr>
            <a:r>
              <a:rPr lang="es-GT" sz="1100" b="1" i="0" baseline="0">
                <a:effectLst/>
                <a:latin typeface="Calibri" panose="020F0502020204030204" pitchFamily="34" charset="0"/>
                <a:cs typeface="Calibri" panose="020F0502020204030204" pitchFamily="34" charset="0"/>
              </a:rPr>
              <a:t> al tercer cuatrimestre año 2021</a:t>
            </a:r>
          </a:p>
          <a:p>
            <a:pPr>
              <a:defRPr>
                <a:latin typeface="Copperplate32bc" pitchFamily="2" charset="0"/>
              </a:defRPr>
            </a:pPr>
            <a:r>
              <a:rPr lang="es-GT" sz="1100" b="1" i="0" baseline="0">
                <a:effectLst/>
                <a:latin typeface="Calibri" panose="020F0502020204030204" pitchFamily="34" charset="0"/>
                <a:cs typeface="Calibri" panose="020F0502020204030204" pitchFamily="34" charset="0"/>
              </a:rPr>
              <a:t>(en millones de Quetzales)</a:t>
            </a:r>
          </a:p>
        </c:rich>
      </c:tx>
      <c:layout>
        <c:manualLayout>
          <c:xMode val="edge"/>
          <c:yMode val="edge"/>
          <c:x val="0.2670667661482517"/>
          <c:y val="2.7238894300361297E-3"/>
        </c:manualLayout>
      </c:layout>
      <c:overlay val="1"/>
    </c:title>
    <c:autoTitleDeleted val="0"/>
    <c:plotArea>
      <c:layout>
        <c:manualLayout>
          <c:layoutTarget val="inner"/>
          <c:xMode val="edge"/>
          <c:yMode val="edge"/>
          <c:x val="0.26927254598221745"/>
          <c:y val="0.24306492861383946"/>
          <c:w val="0.31013299625495305"/>
          <c:h val="0.6645925419992782"/>
        </c:manualLayout>
      </c:layout>
      <c:pieChart>
        <c:varyColors val="1"/>
        <c:ser>
          <c:idx val="0"/>
          <c:order val="0"/>
          <c:spPr>
            <a:solidFill>
              <a:srgbClr val="FF9900"/>
            </a:solidFill>
            <a:ln>
              <a:noFill/>
            </a:ln>
          </c:spPr>
          <c:dPt>
            <c:idx val="0"/>
            <c:bubble3D val="0"/>
            <c:explosion val="7"/>
            <c:spPr>
              <a:solidFill>
                <a:schemeClr val="tx2">
                  <a:lumMod val="75000"/>
                </a:schemeClr>
              </a:solidFill>
              <a:ln>
                <a:noFill/>
              </a:ln>
            </c:spPr>
            <c:extLst>
              <c:ext xmlns:c16="http://schemas.microsoft.com/office/drawing/2014/chart" uri="{C3380CC4-5D6E-409C-BE32-E72D297353CC}">
                <c16:uniqueId val="{00000001-521B-A94F-8FCC-28FE1A2701C6}"/>
              </c:ext>
            </c:extLst>
          </c:dPt>
          <c:dPt>
            <c:idx val="1"/>
            <c:bubble3D val="0"/>
            <c:spPr>
              <a:solidFill>
                <a:schemeClr val="accent5"/>
              </a:solidFill>
              <a:ln w="0">
                <a:solidFill>
                  <a:schemeClr val="tx2">
                    <a:lumMod val="60000"/>
                    <a:lumOff val="40000"/>
                  </a:schemeClr>
                </a:solidFill>
              </a:ln>
              <a:scene3d>
                <a:camera prst="orthographicFront"/>
                <a:lightRig rig="threePt" dir="t"/>
              </a:scene3d>
              <a:sp3d>
                <a:bevelT w="6350"/>
              </a:sp3d>
            </c:spPr>
            <c:extLst>
              <c:ext xmlns:c16="http://schemas.microsoft.com/office/drawing/2014/chart" uri="{C3380CC4-5D6E-409C-BE32-E72D297353CC}">
                <c16:uniqueId val="{00000003-521B-A94F-8FCC-28FE1A2701C6}"/>
              </c:ext>
            </c:extLst>
          </c:dPt>
          <c:dPt>
            <c:idx val="2"/>
            <c:bubble3D val="0"/>
            <c:spPr>
              <a:solidFill>
                <a:schemeClr val="accent1">
                  <a:lumMod val="40000"/>
                  <a:lumOff val="60000"/>
                </a:schemeClr>
              </a:solidFill>
              <a:ln>
                <a:noFill/>
              </a:ln>
            </c:spPr>
            <c:extLst>
              <c:ext xmlns:c16="http://schemas.microsoft.com/office/drawing/2014/chart" uri="{C3380CC4-5D6E-409C-BE32-E72D297353CC}">
                <c16:uniqueId val="{00000005-521B-A94F-8FCC-28FE1A2701C6}"/>
              </c:ext>
            </c:extLst>
          </c:dPt>
          <c:dPt>
            <c:idx val="3"/>
            <c:bubble3D val="0"/>
            <c:spPr>
              <a:solidFill>
                <a:schemeClr val="accent3">
                  <a:lumMod val="75000"/>
                </a:schemeClr>
              </a:solidFill>
              <a:ln>
                <a:noFill/>
              </a:ln>
            </c:spPr>
            <c:extLst>
              <c:ext xmlns:c16="http://schemas.microsoft.com/office/drawing/2014/chart" uri="{C3380CC4-5D6E-409C-BE32-E72D297353CC}">
                <c16:uniqueId val="{00000007-521B-A94F-8FCC-28FE1A2701C6}"/>
              </c:ext>
            </c:extLst>
          </c:dPt>
          <c:dLbls>
            <c:dLbl>
              <c:idx val="0"/>
              <c:layout>
                <c:manualLayout>
                  <c:x val="6.0656067152585091E-2"/>
                  <c:y val="-0.1984595669523993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21B-A94F-8FCC-28FE1A2701C6}"/>
                </c:ext>
              </c:extLst>
            </c:dLbl>
            <c:dLbl>
              <c:idx val="1"/>
              <c:layout>
                <c:manualLayout>
                  <c:x val="-2.1512183913538093E-2"/>
                  <c:y val="-5.983971528547810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21B-A94F-8FCC-28FE1A2701C6}"/>
                </c:ext>
              </c:extLst>
            </c:dLbl>
            <c:spPr>
              <a:noFill/>
              <a:ln>
                <a:noFill/>
              </a:ln>
              <a:effectLst/>
            </c:spPr>
            <c:txPr>
              <a:bodyPr/>
              <a:lstStyle/>
              <a:p>
                <a:pPr>
                  <a:defRPr sz="1050"/>
                </a:pPr>
                <a:endParaRPr lang="en-GT"/>
              </a:p>
            </c:txPr>
            <c:showLegendKey val="0"/>
            <c:showVal val="1"/>
            <c:showCatName val="0"/>
            <c:showSerName val="0"/>
            <c:showPercent val="0"/>
            <c:showBubbleSize val="0"/>
            <c:showLeaderLines val="1"/>
            <c:extLst>
              <c:ext xmlns:c15="http://schemas.microsoft.com/office/drawing/2012/chart" uri="{CE6537A1-D6FC-4f65-9D91-7224C49458BB}"/>
            </c:extLst>
          </c:dLbls>
          <c:cat>
            <c:strRef>
              <c:f>Hoja1!$F$27:$G$27</c:f>
              <c:strCache>
                <c:ptCount val="2"/>
                <c:pt idx="0">
                  <c:v>Vigente</c:v>
                </c:pt>
                <c:pt idx="1">
                  <c:v>Ejecutado</c:v>
                </c:pt>
              </c:strCache>
            </c:strRef>
          </c:cat>
          <c:val>
            <c:numRef>
              <c:f>Hoja1!$F$28:$G$28</c:f>
              <c:numCache>
                <c:formatCode>#,##0.00</c:formatCode>
                <c:ptCount val="2"/>
                <c:pt idx="0">
                  <c:v>339400000</c:v>
                </c:pt>
                <c:pt idx="1">
                  <c:v>258954419.06999999</c:v>
                </c:pt>
              </c:numCache>
            </c:numRef>
          </c:val>
          <c:extLst>
            <c:ext xmlns:c16="http://schemas.microsoft.com/office/drawing/2014/chart" uri="{C3380CC4-5D6E-409C-BE32-E72D297353CC}">
              <c16:uniqueId val="{00000008-521B-A94F-8FCC-28FE1A2701C6}"/>
            </c:ext>
          </c:extLst>
        </c:ser>
        <c:dLbls>
          <c:showLegendKey val="0"/>
          <c:showVal val="0"/>
          <c:showCatName val="0"/>
          <c:showSerName val="0"/>
          <c:showPercent val="0"/>
          <c:showBubbleSize val="0"/>
          <c:showLeaderLines val="1"/>
        </c:dLbls>
        <c:firstSliceAng val="0"/>
      </c:pieChart>
      <c:dTable>
        <c:showHorzBorder val="1"/>
        <c:showVertBorder val="1"/>
        <c:showOutline val="1"/>
        <c:showKeys val="0"/>
      </c:dTable>
      <c:spPr>
        <a:ln>
          <a:noFill/>
        </a:ln>
      </c:spPr>
    </c:plotArea>
    <c:legend>
      <c:legendPos val="r"/>
      <c:layout>
        <c:manualLayout>
          <c:xMode val="edge"/>
          <c:yMode val="edge"/>
          <c:x val="0.8094868274324436"/>
          <c:y val="0.22650580650301783"/>
          <c:w val="0.15927957547604013"/>
          <c:h val="0.13548002416886334"/>
        </c:manualLayout>
      </c:layout>
      <c:overlay val="0"/>
    </c:legend>
    <c:plotVisOnly val="1"/>
    <c:dispBlanksAs val="zero"/>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GT" sz="1100">
                <a:latin typeface="Calibri" panose="020F0502020204030204" pitchFamily="34" charset="0"/>
                <a:cs typeface="Calibri" panose="020F0502020204030204" pitchFamily="34" charset="0"/>
              </a:rPr>
              <a:t>Ejecución Presupuestaria </a:t>
            </a:r>
          </a:p>
          <a:p>
            <a:pPr>
              <a:defRPr sz="1200"/>
            </a:pPr>
            <a:r>
              <a:rPr lang="es-GT" sz="1100">
                <a:latin typeface="Calibri" panose="020F0502020204030204" pitchFamily="34" charset="0"/>
                <a:cs typeface="Calibri" panose="020F0502020204030204" pitchFamily="34" charset="0"/>
              </a:rPr>
              <a:t>Grupo de Gasto</a:t>
            </a:r>
          </a:p>
          <a:p>
            <a:pPr>
              <a:defRPr sz="1200"/>
            </a:pPr>
            <a:r>
              <a:rPr lang="es-GT" sz="1100" baseline="0">
                <a:latin typeface="Calibri" panose="020F0502020204030204" pitchFamily="34" charset="0"/>
                <a:cs typeface="Calibri" panose="020F0502020204030204" pitchFamily="34" charset="0"/>
              </a:rPr>
              <a:t> Al Tercer Cuatrimestre año 2021</a:t>
            </a:r>
            <a:r>
              <a:rPr lang="es-GT" sz="1100">
                <a:latin typeface="Calibri" panose="020F0502020204030204" pitchFamily="34" charset="0"/>
                <a:cs typeface="Calibri" panose="020F0502020204030204" pitchFamily="34" charset="0"/>
              </a:rPr>
              <a:t> </a:t>
            </a:r>
          </a:p>
          <a:p>
            <a:pPr>
              <a:defRPr sz="1200"/>
            </a:pPr>
            <a:r>
              <a:rPr lang="es-GT" sz="1100">
                <a:latin typeface="Calibri" panose="020F0502020204030204" pitchFamily="34" charset="0"/>
                <a:cs typeface="Calibri" panose="020F0502020204030204" pitchFamily="34" charset="0"/>
              </a:rPr>
              <a:t>(en millones de Quetzales)</a:t>
            </a:r>
          </a:p>
        </c:rich>
      </c:tx>
      <c:overlay val="1"/>
    </c:title>
    <c:autoTitleDeleted val="0"/>
    <c:plotArea>
      <c:layout>
        <c:manualLayout>
          <c:layoutTarget val="inner"/>
          <c:xMode val="edge"/>
          <c:yMode val="edge"/>
          <c:x val="0.10409093139222353"/>
          <c:y val="0.26488727998848466"/>
          <c:w val="0.73576104941890308"/>
          <c:h val="0.47914197423105082"/>
        </c:manualLayout>
      </c:layout>
      <c:barChart>
        <c:barDir val="col"/>
        <c:grouping val="clustered"/>
        <c:varyColors val="0"/>
        <c:ser>
          <c:idx val="1"/>
          <c:order val="0"/>
          <c:tx>
            <c:strRef>
              <c:f>Hoja1!$X$4</c:f>
              <c:strCache>
                <c:ptCount val="1"/>
                <c:pt idx="0">
                  <c:v>Vigente</c:v>
                </c:pt>
              </c:strCache>
            </c:strRef>
          </c:tx>
          <c:spPr>
            <a:solidFill>
              <a:schemeClr val="tx2">
                <a:lumMod val="50000"/>
              </a:schemeClr>
            </a:solidFill>
            <a:ln>
              <a:solidFill>
                <a:schemeClr val="tx2">
                  <a:lumMod val="50000"/>
                </a:schemeClr>
              </a:solidFill>
            </a:ln>
          </c:spPr>
          <c:invertIfNegative val="0"/>
          <c:dPt>
            <c:idx val="0"/>
            <c:invertIfNegative val="0"/>
            <c:bubble3D val="0"/>
            <c:spPr>
              <a:solidFill>
                <a:schemeClr val="tx2">
                  <a:lumMod val="50000"/>
                </a:schemeClr>
              </a:solidFill>
              <a:ln>
                <a:noFill/>
              </a:ln>
            </c:spPr>
            <c:extLst>
              <c:ext xmlns:c16="http://schemas.microsoft.com/office/drawing/2014/chart" uri="{C3380CC4-5D6E-409C-BE32-E72D297353CC}">
                <c16:uniqueId val="{00000001-3CAA-CA46-B5AD-26632B0520A5}"/>
              </c:ext>
            </c:extLst>
          </c:dPt>
          <c:dLbls>
            <c:spPr>
              <a:noFill/>
              <a:ln>
                <a:noFill/>
              </a:ln>
              <a:effectLst/>
            </c:spPr>
            <c:txPr>
              <a:bodyPr rot="-5400000" vert="horz"/>
              <a:lstStyle/>
              <a:p>
                <a:pPr>
                  <a:defRPr/>
                </a:pPr>
                <a:endParaRPr lang="en-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Hoja1!$X$5:$X$10</c:f>
              <c:numCache>
                <c:formatCode>#,##0.00</c:formatCode>
                <c:ptCount val="6"/>
                <c:pt idx="0">
                  <c:v>247195873</c:v>
                </c:pt>
                <c:pt idx="1">
                  <c:v>43182594</c:v>
                </c:pt>
                <c:pt idx="2">
                  <c:v>9545589</c:v>
                </c:pt>
                <c:pt idx="3">
                  <c:v>15211405</c:v>
                </c:pt>
                <c:pt idx="4">
                  <c:v>22992942</c:v>
                </c:pt>
                <c:pt idx="5">
                  <c:v>1271597</c:v>
                </c:pt>
              </c:numCache>
            </c:numRef>
          </c:val>
          <c:extLst>
            <c:ext xmlns:c16="http://schemas.microsoft.com/office/drawing/2014/chart" uri="{C3380CC4-5D6E-409C-BE32-E72D297353CC}">
              <c16:uniqueId val="{00000001-3153-4EB0-960D-C1674C0A90C9}"/>
            </c:ext>
          </c:extLst>
        </c:ser>
        <c:ser>
          <c:idx val="2"/>
          <c:order val="1"/>
          <c:tx>
            <c:strRef>
              <c:f>Hoja1!$AC$4</c:f>
              <c:strCache>
                <c:ptCount val="1"/>
                <c:pt idx="0">
                  <c:v>Ejecutado</c:v>
                </c:pt>
              </c:strCache>
            </c:strRef>
          </c:tx>
          <c:spPr>
            <a:solidFill>
              <a:schemeClr val="accent1"/>
            </a:solidFill>
          </c:spPr>
          <c:invertIfNegative val="0"/>
          <c:dLbls>
            <c:spPr>
              <a:noFill/>
              <a:ln>
                <a:noFill/>
              </a:ln>
              <a:effectLst/>
            </c:spPr>
            <c:txPr>
              <a:bodyPr rot="-5400000" vert="horz"/>
              <a:lstStyle/>
              <a:p>
                <a:pPr>
                  <a:defRPr/>
                </a:pPr>
                <a:endParaRPr lang="en-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Hoja1!$AC$5:$AC$10</c:f>
              <c:numCache>
                <c:formatCode>#,##0.00</c:formatCode>
                <c:ptCount val="6"/>
                <c:pt idx="0">
                  <c:v>203107716.50999999</c:v>
                </c:pt>
                <c:pt idx="1">
                  <c:v>25241681.75</c:v>
                </c:pt>
                <c:pt idx="2">
                  <c:v>6358127.6099999994</c:v>
                </c:pt>
                <c:pt idx="3">
                  <c:v>4126228.52</c:v>
                </c:pt>
                <c:pt idx="4">
                  <c:v>19351368.039999999</c:v>
                </c:pt>
                <c:pt idx="5">
                  <c:v>769296.64</c:v>
                </c:pt>
              </c:numCache>
            </c:numRef>
          </c:val>
          <c:extLst>
            <c:ext xmlns:c16="http://schemas.microsoft.com/office/drawing/2014/chart" uri="{C3380CC4-5D6E-409C-BE32-E72D297353CC}">
              <c16:uniqueId val="{00000002-3153-4EB0-960D-C1674C0A90C9}"/>
            </c:ext>
          </c:extLst>
        </c:ser>
        <c:ser>
          <c:idx val="3"/>
          <c:order val="2"/>
          <c:tx>
            <c:strRef>
              <c:f>Hoja1!$AD$4</c:f>
              <c:strCache>
                <c:ptCount val="1"/>
                <c:pt idx="0">
                  <c:v>Saldo por ejecutar</c:v>
                </c:pt>
              </c:strCache>
            </c:strRef>
          </c:tx>
          <c:spPr>
            <a:solidFill>
              <a:schemeClr val="accent1">
                <a:lumMod val="40000"/>
                <a:lumOff val="60000"/>
              </a:schemeClr>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AA-CA46-B5AD-26632B0520A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AA-CA46-B5AD-26632B0520A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AA-CA46-B5AD-26632B0520A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AA-CA46-B5AD-26632B0520A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AA-CA46-B5AD-26632B0520A5}"/>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AA-CA46-B5AD-26632B0520A5}"/>
                </c:ext>
              </c:extLst>
            </c:dLbl>
            <c:spPr>
              <a:noFill/>
              <a:ln>
                <a:noFill/>
              </a:ln>
              <a:effectLst/>
            </c:spPr>
            <c:txPr>
              <a:bodyPr rot="-5400000" vert="horz"/>
              <a:lstStyle/>
              <a:p>
                <a:pPr>
                  <a:defRPr/>
                </a:pPr>
                <a:endParaRPr lang="en-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Hoja1!$AD$5:$AD$10</c:f>
              <c:numCache>
                <c:formatCode>#,##0.00</c:formatCode>
                <c:ptCount val="6"/>
                <c:pt idx="0">
                  <c:v>44088156.49000001</c:v>
                </c:pt>
                <c:pt idx="1">
                  <c:v>17940912.25</c:v>
                </c:pt>
                <c:pt idx="2">
                  <c:v>3187461.3899999997</c:v>
                </c:pt>
                <c:pt idx="3">
                  <c:v>11085176.48</c:v>
                </c:pt>
                <c:pt idx="4">
                  <c:v>3641573.9600000009</c:v>
                </c:pt>
                <c:pt idx="5">
                  <c:v>502300.36</c:v>
                </c:pt>
              </c:numCache>
            </c:numRef>
          </c:val>
          <c:extLst>
            <c:ext xmlns:c16="http://schemas.microsoft.com/office/drawing/2014/chart" uri="{C3380CC4-5D6E-409C-BE32-E72D297353CC}">
              <c16:uniqueId val="{00000003-3153-4EB0-960D-C1674C0A90C9}"/>
            </c:ext>
          </c:extLst>
        </c:ser>
        <c:dLbls>
          <c:showLegendKey val="0"/>
          <c:showVal val="0"/>
          <c:showCatName val="0"/>
          <c:showSerName val="0"/>
          <c:showPercent val="0"/>
          <c:showBubbleSize val="0"/>
        </c:dLbls>
        <c:gapWidth val="96"/>
        <c:overlap val="-10"/>
        <c:axId val="63691392"/>
        <c:axId val="63697280"/>
      </c:barChart>
      <c:catAx>
        <c:axId val="63691392"/>
        <c:scaling>
          <c:orientation val="minMax"/>
        </c:scaling>
        <c:delete val="0"/>
        <c:axPos val="b"/>
        <c:numFmt formatCode="General" sourceLinked="0"/>
        <c:majorTickMark val="out"/>
        <c:minorTickMark val="none"/>
        <c:tickLblPos val="nextTo"/>
        <c:txPr>
          <a:bodyPr/>
          <a:lstStyle/>
          <a:p>
            <a:pPr>
              <a:defRPr sz="900"/>
            </a:pPr>
            <a:endParaRPr lang="en-GT"/>
          </a:p>
        </c:txPr>
        <c:crossAx val="63697280"/>
        <c:crosses val="autoZero"/>
        <c:auto val="1"/>
        <c:lblAlgn val="ctr"/>
        <c:lblOffset val="100"/>
        <c:noMultiLvlLbl val="0"/>
      </c:catAx>
      <c:valAx>
        <c:axId val="63697280"/>
        <c:scaling>
          <c:orientation val="minMax"/>
        </c:scaling>
        <c:delete val="0"/>
        <c:axPos val="l"/>
        <c:numFmt formatCode="#,##0.00" sourceLinked="1"/>
        <c:majorTickMark val="out"/>
        <c:minorTickMark val="none"/>
        <c:tickLblPos val="nextTo"/>
        <c:crossAx val="63691392"/>
        <c:crosses val="autoZero"/>
        <c:crossBetween val="between"/>
        <c:dispUnits>
          <c:builtInUnit val="millions"/>
        </c:dispUnits>
      </c:valAx>
    </c:plotArea>
    <c:legend>
      <c:legendPos val="r"/>
      <c:layout>
        <c:manualLayout>
          <c:xMode val="edge"/>
          <c:yMode val="edge"/>
          <c:x val="0.7581971442107498"/>
          <c:y val="0.23970696778421954"/>
          <c:w val="0.16826645901863815"/>
          <c:h val="0.20182930750925679"/>
        </c:manualLayout>
      </c:layout>
      <c:overlay val="0"/>
      <c:txPr>
        <a:bodyPr/>
        <a:lstStyle/>
        <a:p>
          <a:pPr>
            <a:defRPr sz="1000"/>
          </a:pPr>
          <a:endParaRPr lang="en-GT"/>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1100">
                <a:latin typeface="Calibri" panose="020F0502020204030204" pitchFamily="34" charset="0"/>
                <a:cs typeface="Calibri" panose="020F0502020204030204" pitchFamily="34" charset="0"/>
              </a:rPr>
              <a:t>Ejecución Presupuestaria </a:t>
            </a:r>
          </a:p>
          <a:p>
            <a:pPr>
              <a:defRPr/>
            </a:pPr>
            <a:r>
              <a:rPr lang="es-GT" sz="1100">
                <a:latin typeface="Calibri" panose="020F0502020204030204" pitchFamily="34" charset="0"/>
                <a:cs typeface="Calibri" panose="020F0502020204030204" pitchFamily="34" charset="0"/>
              </a:rPr>
              <a:t>Grupo de Gasto 00: Servicios Personales</a:t>
            </a:r>
          </a:p>
          <a:p>
            <a:pPr>
              <a:defRPr/>
            </a:pPr>
            <a:r>
              <a:rPr lang="es-GT" sz="1100">
                <a:latin typeface="Calibri" panose="020F0502020204030204" pitchFamily="34" charset="0"/>
                <a:cs typeface="Calibri" panose="020F0502020204030204" pitchFamily="34" charset="0"/>
              </a:rPr>
              <a:t>Al Tercer cuatrimestre año 2021</a:t>
            </a:r>
          </a:p>
          <a:p>
            <a:pPr>
              <a:defRPr/>
            </a:pPr>
            <a:r>
              <a:rPr lang="es-GT" sz="1100">
                <a:latin typeface="Calibri" panose="020F0502020204030204" pitchFamily="34" charset="0"/>
                <a:cs typeface="Calibri" panose="020F0502020204030204" pitchFamily="34" charset="0"/>
              </a:rPr>
              <a:t>(en millones de Quetzales)</a:t>
            </a:r>
          </a:p>
        </c:rich>
      </c:tx>
      <c:layout>
        <c:manualLayout>
          <c:xMode val="edge"/>
          <c:yMode val="edge"/>
          <c:x val="0.30586282244358776"/>
          <c:y val="1.1710216550800002E-2"/>
        </c:manualLayout>
      </c:layout>
      <c:overlay val="0"/>
    </c:title>
    <c:autoTitleDeleted val="0"/>
    <c:plotArea>
      <c:layout>
        <c:manualLayout>
          <c:layoutTarget val="inner"/>
          <c:xMode val="edge"/>
          <c:yMode val="edge"/>
          <c:x val="0.20739765659506268"/>
          <c:y val="0.25963783215622627"/>
          <c:w val="0.71728232440522999"/>
          <c:h val="0.61104359905831462"/>
        </c:manualLayout>
      </c:layout>
      <c:barChart>
        <c:barDir val="col"/>
        <c:grouping val="clustered"/>
        <c:varyColors val="0"/>
        <c:ser>
          <c:idx val="0"/>
          <c:order val="0"/>
          <c:spPr>
            <a:solidFill>
              <a:schemeClr val="tx2">
                <a:lumMod val="50000"/>
              </a:schemeClr>
            </a:solidFill>
          </c:spPr>
          <c:invertIfNegative val="0"/>
          <c:dPt>
            <c:idx val="1"/>
            <c:invertIfNegative val="0"/>
            <c:bubble3D val="0"/>
            <c:spPr>
              <a:solidFill>
                <a:schemeClr val="accent5"/>
              </a:solidFill>
            </c:spPr>
            <c:extLst>
              <c:ext xmlns:c16="http://schemas.microsoft.com/office/drawing/2014/chart" uri="{C3380CC4-5D6E-409C-BE32-E72D297353CC}">
                <c16:uniqueId val="{00000001-599C-4ECF-987D-D90BB1399FB6}"/>
              </c:ext>
            </c:extLst>
          </c:dPt>
          <c:dPt>
            <c:idx val="2"/>
            <c:invertIfNegative val="0"/>
            <c:bubble3D val="0"/>
            <c:spPr>
              <a:solidFill>
                <a:schemeClr val="accent1">
                  <a:lumMod val="40000"/>
                  <a:lumOff val="60000"/>
                </a:schemeClr>
              </a:solidFill>
            </c:spPr>
            <c:extLst>
              <c:ext xmlns:c16="http://schemas.microsoft.com/office/drawing/2014/chart" uri="{C3380CC4-5D6E-409C-BE32-E72D297353CC}">
                <c16:uniqueId val="{00000003-599C-4ECF-987D-D90BB1399FB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8F-114B-8502-B394E46C9E7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C-4ECF-987D-D90BB1399FB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9C-4ECF-987D-D90BB1399FB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Hoja1!$F$11:$H$11</c:f>
              <c:strCache>
                <c:ptCount val="3"/>
                <c:pt idx="0">
                  <c:v>Vigente</c:v>
                </c:pt>
                <c:pt idx="1">
                  <c:v>Ejecutado</c:v>
                </c:pt>
                <c:pt idx="2">
                  <c:v>Saldo por ejecutar</c:v>
                </c:pt>
              </c:strCache>
            </c:strRef>
          </c:cat>
          <c:val>
            <c:numRef>
              <c:f>Hoja1!$F$12:$H$12</c:f>
              <c:numCache>
                <c:formatCode>#,##0.00</c:formatCode>
                <c:ptCount val="3"/>
                <c:pt idx="0">
                  <c:v>247195873</c:v>
                </c:pt>
                <c:pt idx="1">
                  <c:v>203107716.50999999</c:v>
                </c:pt>
                <c:pt idx="2">
                  <c:v>44088156.49000001</c:v>
                </c:pt>
              </c:numCache>
            </c:numRef>
          </c:val>
          <c:extLst>
            <c:ext xmlns:c16="http://schemas.microsoft.com/office/drawing/2014/chart" uri="{C3380CC4-5D6E-409C-BE32-E72D297353CC}">
              <c16:uniqueId val="{00000006-599C-4ECF-987D-D90BB1399FB6}"/>
            </c:ext>
          </c:extLst>
        </c:ser>
        <c:dLbls>
          <c:showLegendKey val="0"/>
          <c:showVal val="0"/>
          <c:showCatName val="0"/>
          <c:showSerName val="0"/>
          <c:showPercent val="0"/>
          <c:showBubbleSize val="0"/>
        </c:dLbls>
        <c:gapWidth val="150"/>
        <c:axId val="63720832"/>
        <c:axId val="63722624"/>
      </c:barChart>
      <c:catAx>
        <c:axId val="63720832"/>
        <c:scaling>
          <c:orientation val="minMax"/>
        </c:scaling>
        <c:delete val="0"/>
        <c:axPos val="b"/>
        <c:numFmt formatCode="General" sourceLinked="1"/>
        <c:majorTickMark val="out"/>
        <c:minorTickMark val="none"/>
        <c:tickLblPos val="nextTo"/>
        <c:crossAx val="63722624"/>
        <c:crosses val="autoZero"/>
        <c:auto val="1"/>
        <c:lblAlgn val="ctr"/>
        <c:lblOffset val="100"/>
        <c:noMultiLvlLbl val="0"/>
      </c:catAx>
      <c:valAx>
        <c:axId val="63722624"/>
        <c:scaling>
          <c:orientation val="minMax"/>
        </c:scaling>
        <c:delete val="0"/>
        <c:axPos val="l"/>
        <c:majorGridlines/>
        <c:numFmt formatCode="#,##0.00" sourceLinked="0"/>
        <c:majorTickMark val="out"/>
        <c:minorTickMark val="none"/>
        <c:tickLblPos val="nextTo"/>
        <c:txPr>
          <a:bodyPr/>
          <a:lstStyle/>
          <a:p>
            <a:pPr algn="ctr">
              <a:defRPr lang="es-GT" sz="1000" b="0" i="0" u="none" strike="noStrike" kern="1200" baseline="0">
                <a:solidFill>
                  <a:schemeClr val="tx1"/>
                </a:solidFill>
                <a:latin typeface="+mn-lt"/>
                <a:ea typeface="+mn-ea"/>
                <a:cs typeface="+mn-cs"/>
              </a:defRPr>
            </a:pPr>
            <a:endParaRPr lang="en-GT"/>
          </a:p>
        </c:txPr>
        <c:crossAx val="63720832"/>
        <c:crosses val="autoZero"/>
        <c:crossBetween val="between"/>
        <c:dispUnits>
          <c:builtInUnit val="millions"/>
        </c:dispUnits>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1000">
                <a:latin typeface="Calibri" panose="020F0502020204030204" pitchFamily="34" charset="0"/>
                <a:cs typeface="Calibri" panose="020F0502020204030204" pitchFamily="34" charset="0"/>
              </a:rPr>
              <a:t>Ejecución Presupuestaria </a:t>
            </a:r>
          </a:p>
          <a:p>
            <a:pPr>
              <a:defRPr/>
            </a:pPr>
            <a:r>
              <a:rPr lang="es-GT" sz="1000">
                <a:latin typeface="Calibri" panose="020F0502020204030204" pitchFamily="34" charset="0"/>
                <a:cs typeface="Calibri" panose="020F0502020204030204" pitchFamily="34" charset="0"/>
              </a:rPr>
              <a:t>Grupo de Gasto 300: Propiedad,</a:t>
            </a:r>
            <a:r>
              <a:rPr lang="es-GT" sz="1000" baseline="0">
                <a:latin typeface="Calibri" panose="020F0502020204030204" pitchFamily="34" charset="0"/>
                <a:cs typeface="Calibri" panose="020F0502020204030204" pitchFamily="34" charset="0"/>
              </a:rPr>
              <a:t> Planta, Equipo e Intangibles</a:t>
            </a:r>
          </a:p>
          <a:p>
            <a:pPr>
              <a:defRPr/>
            </a:pPr>
            <a:r>
              <a:rPr lang="es-GT" sz="1000" baseline="0">
                <a:latin typeface="Calibri" panose="020F0502020204030204" pitchFamily="34" charset="0"/>
                <a:cs typeface="Calibri" panose="020F0502020204030204" pitchFamily="34" charset="0"/>
              </a:rPr>
              <a:t>Al tercer cuatrimestre del año 2021</a:t>
            </a:r>
          </a:p>
          <a:p>
            <a:pPr>
              <a:defRPr/>
            </a:pPr>
            <a:r>
              <a:rPr lang="es-GT" sz="1000" baseline="0">
                <a:latin typeface="Calibri" panose="020F0502020204030204" pitchFamily="34" charset="0"/>
                <a:cs typeface="Calibri" panose="020F0502020204030204" pitchFamily="34" charset="0"/>
              </a:rPr>
              <a:t>(en millones de Quezales)</a:t>
            </a:r>
            <a:endParaRPr lang="es-GT" sz="1000">
              <a:latin typeface="Calibri" panose="020F0502020204030204" pitchFamily="34" charset="0"/>
              <a:cs typeface="Calibri" panose="020F0502020204030204" pitchFamily="34" charset="0"/>
            </a:endParaRPr>
          </a:p>
        </c:rich>
      </c:tx>
      <c:layout>
        <c:manualLayout>
          <c:xMode val="edge"/>
          <c:yMode val="edge"/>
          <c:x val="0.22601214061673752"/>
          <c:y val="2.2522728851049747E-2"/>
        </c:manualLayout>
      </c:layout>
      <c:overlay val="0"/>
    </c:title>
    <c:autoTitleDeleted val="0"/>
    <c:plotArea>
      <c:layout>
        <c:manualLayout>
          <c:layoutTarget val="inner"/>
          <c:xMode val="edge"/>
          <c:yMode val="edge"/>
          <c:x val="0.20213514658357451"/>
          <c:y val="0.2722785503677177"/>
          <c:w val="0.71124803611597354"/>
          <c:h val="0.59616071125972958"/>
        </c:manualLayout>
      </c:layout>
      <c:barChart>
        <c:barDir val="col"/>
        <c:grouping val="clustered"/>
        <c:varyColors val="0"/>
        <c:ser>
          <c:idx val="0"/>
          <c:order val="0"/>
          <c:invertIfNegative val="0"/>
          <c:dPt>
            <c:idx val="0"/>
            <c:invertIfNegative val="0"/>
            <c:bubble3D val="0"/>
            <c:spPr>
              <a:solidFill>
                <a:schemeClr val="tx2">
                  <a:lumMod val="50000"/>
                </a:schemeClr>
              </a:solidFill>
            </c:spPr>
            <c:extLst>
              <c:ext xmlns:c16="http://schemas.microsoft.com/office/drawing/2014/chart" uri="{C3380CC4-5D6E-409C-BE32-E72D297353CC}">
                <c16:uniqueId val="{00000001-5D94-485D-BC2B-BD65EA363D76}"/>
              </c:ext>
            </c:extLst>
          </c:dPt>
          <c:dPt>
            <c:idx val="1"/>
            <c:invertIfNegative val="0"/>
            <c:bubble3D val="0"/>
            <c:spPr>
              <a:solidFill>
                <a:schemeClr val="accent5"/>
              </a:solidFill>
            </c:spPr>
            <c:extLst>
              <c:ext xmlns:c16="http://schemas.microsoft.com/office/drawing/2014/chart" uri="{C3380CC4-5D6E-409C-BE32-E72D297353CC}">
                <c16:uniqueId val="{00000003-5D94-485D-BC2B-BD65EA363D76}"/>
              </c:ext>
            </c:extLst>
          </c:dPt>
          <c:dPt>
            <c:idx val="2"/>
            <c:invertIfNegative val="0"/>
            <c:bubble3D val="0"/>
            <c:spPr>
              <a:solidFill>
                <a:schemeClr val="accent1">
                  <a:lumMod val="40000"/>
                  <a:lumOff val="60000"/>
                </a:schemeClr>
              </a:solidFill>
            </c:spPr>
            <c:extLst>
              <c:ext xmlns:c16="http://schemas.microsoft.com/office/drawing/2014/chart" uri="{C3380CC4-5D6E-409C-BE32-E72D297353CC}">
                <c16:uniqueId val="{00000005-5D94-485D-BC2B-BD65EA363D76}"/>
              </c:ext>
            </c:extLst>
          </c:dPt>
          <c:dPt>
            <c:idx val="3"/>
            <c:invertIfNegative val="0"/>
            <c:bubble3D val="0"/>
            <c:spPr>
              <a:solidFill>
                <a:schemeClr val="accent3">
                  <a:lumMod val="75000"/>
                </a:schemeClr>
              </a:solidFill>
            </c:spPr>
            <c:extLst>
              <c:ext xmlns:c16="http://schemas.microsoft.com/office/drawing/2014/chart" uri="{C3380CC4-5D6E-409C-BE32-E72D297353CC}">
                <c16:uniqueId val="{00000007-5D94-485D-BC2B-BD65EA363D76}"/>
              </c:ext>
            </c:extLst>
          </c:dPt>
          <c:dLbls>
            <c:dLbl>
              <c:idx val="0"/>
              <c:layout>
                <c:manualLayout>
                  <c:x val="-6.8997240110395593E-3"/>
                  <c:y val="1.1259148057796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94-485D-BC2B-BD65EA363D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Hoja1!$E$23:$H$23</c:f>
              <c:strCache>
                <c:ptCount val="3"/>
                <c:pt idx="0">
                  <c:v>Vigente</c:v>
                </c:pt>
                <c:pt idx="1">
                  <c:v>Ejecutado</c:v>
                </c:pt>
                <c:pt idx="2">
                  <c:v>Saldo por ejecutar</c:v>
                </c:pt>
              </c:strCache>
            </c:strRef>
          </c:cat>
          <c:val>
            <c:numRef>
              <c:f>Hoja1!$E$24:$H$24</c:f>
              <c:numCache>
                <c:formatCode>#,##0.00</c:formatCode>
                <c:ptCount val="3"/>
                <c:pt idx="0">
                  <c:v>15211405</c:v>
                </c:pt>
                <c:pt idx="1">
                  <c:v>4126228.52</c:v>
                </c:pt>
                <c:pt idx="2">
                  <c:v>11085176.48</c:v>
                </c:pt>
              </c:numCache>
            </c:numRef>
          </c:val>
          <c:extLst>
            <c:ext xmlns:c16="http://schemas.microsoft.com/office/drawing/2014/chart" uri="{C3380CC4-5D6E-409C-BE32-E72D297353CC}">
              <c16:uniqueId val="{00000008-5D94-485D-BC2B-BD65EA363D76}"/>
            </c:ext>
          </c:extLst>
        </c:ser>
        <c:dLbls>
          <c:showLegendKey val="0"/>
          <c:showVal val="0"/>
          <c:showCatName val="0"/>
          <c:showSerName val="0"/>
          <c:showPercent val="0"/>
          <c:showBubbleSize val="0"/>
        </c:dLbls>
        <c:gapWidth val="150"/>
        <c:axId val="63755776"/>
        <c:axId val="63757312"/>
      </c:barChart>
      <c:catAx>
        <c:axId val="63755776"/>
        <c:scaling>
          <c:orientation val="minMax"/>
        </c:scaling>
        <c:delete val="0"/>
        <c:axPos val="b"/>
        <c:numFmt formatCode="General" sourceLinked="0"/>
        <c:majorTickMark val="out"/>
        <c:minorTickMark val="none"/>
        <c:tickLblPos val="nextTo"/>
        <c:txPr>
          <a:bodyPr/>
          <a:lstStyle/>
          <a:p>
            <a:pPr>
              <a:defRPr sz="800"/>
            </a:pPr>
            <a:endParaRPr lang="en-GT"/>
          </a:p>
        </c:txPr>
        <c:crossAx val="63757312"/>
        <c:crosses val="autoZero"/>
        <c:auto val="1"/>
        <c:lblAlgn val="ctr"/>
        <c:lblOffset val="100"/>
        <c:noMultiLvlLbl val="0"/>
      </c:catAx>
      <c:valAx>
        <c:axId val="63757312"/>
        <c:scaling>
          <c:orientation val="minMax"/>
        </c:scaling>
        <c:delete val="0"/>
        <c:axPos val="l"/>
        <c:majorGridlines/>
        <c:numFmt formatCode="#,##0.00" sourceLinked="1"/>
        <c:majorTickMark val="out"/>
        <c:minorTickMark val="none"/>
        <c:tickLblPos val="nextTo"/>
        <c:txPr>
          <a:bodyPr/>
          <a:lstStyle/>
          <a:p>
            <a:pPr>
              <a:defRPr sz="800"/>
            </a:pPr>
            <a:endParaRPr lang="en-GT"/>
          </a:p>
        </c:txPr>
        <c:crossAx val="63755776"/>
        <c:crosses val="autoZero"/>
        <c:crossBetween val="between"/>
        <c:dispUnits>
          <c:builtInUnit val="millions"/>
        </c:dispUnits>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lgn="ctr">
              <a:defRPr>
                <a:latin typeface="Copperplate32bc" pitchFamily="2" charset="0"/>
              </a:defRPr>
            </a:pPr>
            <a:r>
              <a:rPr lang="es-GT" sz="1100" b="1" i="0" baseline="0">
                <a:effectLst/>
                <a:latin typeface="Calibri" panose="020F0502020204030204" pitchFamily="34" charset="0"/>
                <a:cs typeface="Calibri" panose="020F0502020204030204" pitchFamily="34" charset="0"/>
              </a:rPr>
              <a:t>Ejecución presupuestaria</a:t>
            </a:r>
            <a:endParaRPr lang="es-GT" sz="1100">
              <a:effectLst/>
              <a:latin typeface="Calibri" panose="020F0502020204030204" pitchFamily="34" charset="0"/>
              <a:cs typeface="Calibri" panose="020F0502020204030204" pitchFamily="34" charset="0"/>
            </a:endParaRPr>
          </a:p>
          <a:p>
            <a:pPr algn="ctr">
              <a:defRPr>
                <a:latin typeface="Copperplate32bc" pitchFamily="2" charset="0"/>
              </a:defRPr>
            </a:pPr>
            <a:r>
              <a:rPr lang="es-GT" sz="1100" b="1" i="0" baseline="0">
                <a:effectLst/>
                <a:latin typeface="Calibri" panose="020F0502020204030204" pitchFamily="34" charset="0"/>
                <a:cs typeface="Calibri" panose="020F0502020204030204" pitchFamily="34" charset="0"/>
              </a:rPr>
              <a:t>Servicios Públicos </a:t>
            </a:r>
            <a:endParaRPr lang="es-GT" sz="1100">
              <a:effectLst/>
              <a:latin typeface="Calibri" panose="020F0502020204030204" pitchFamily="34" charset="0"/>
              <a:cs typeface="Calibri" panose="020F0502020204030204" pitchFamily="34" charset="0"/>
            </a:endParaRPr>
          </a:p>
          <a:p>
            <a:pPr algn="ctr">
              <a:defRPr>
                <a:latin typeface="Copperplate32bc" pitchFamily="2" charset="0"/>
              </a:defRPr>
            </a:pPr>
            <a:r>
              <a:rPr lang="es-GT" sz="1100" b="1" i="0" baseline="0">
                <a:effectLst/>
                <a:latin typeface="Calibri" panose="020F0502020204030204" pitchFamily="34" charset="0"/>
                <a:cs typeface="Calibri" panose="020F0502020204030204" pitchFamily="34" charset="0"/>
              </a:rPr>
              <a:t> al tercer cuatrimestre año 2021</a:t>
            </a:r>
            <a:endParaRPr lang="es-GT" sz="1100">
              <a:effectLst/>
              <a:latin typeface="Calibri" panose="020F0502020204030204" pitchFamily="34" charset="0"/>
              <a:cs typeface="Calibri" panose="020F0502020204030204" pitchFamily="34" charset="0"/>
            </a:endParaRPr>
          </a:p>
          <a:p>
            <a:pPr algn="ctr">
              <a:defRPr>
                <a:latin typeface="Copperplate32bc" pitchFamily="2" charset="0"/>
              </a:defRPr>
            </a:pPr>
            <a:r>
              <a:rPr lang="es-GT" sz="1100" b="1" i="0" baseline="0">
                <a:effectLst/>
                <a:latin typeface="Calibri" panose="020F0502020204030204" pitchFamily="34" charset="0"/>
                <a:cs typeface="Calibri" panose="020F0502020204030204" pitchFamily="34" charset="0"/>
              </a:rPr>
              <a:t>(en millones de Quetzales)</a:t>
            </a:r>
            <a:endParaRPr lang="es-GT" sz="1100">
              <a:effectLst/>
              <a:latin typeface="Calibri" panose="020F0502020204030204" pitchFamily="34" charset="0"/>
              <a:cs typeface="Calibri" panose="020F0502020204030204" pitchFamily="34" charset="0"/>
            </a:endParaRPr>
          </a:p>
        </c:rich>
      </c:tx>
      <c:layout>
        <c:manualLayout>
          <c:xMode val="edge"/>
          <c:yMode val="edge"/>
          <c:x val="0.35035702206915609"/>
          <c:y val="0"/>
        </c:manualLayout>
      </c:layout>
      <c:overlay val="0"/>
    </c:title>
    <c:autoTitleDeleted val="0"/>
    <c:plotArea>
      <c:layout>
        <c:manualLayout>
          <c:layoutTarget val="inner"/>
          <c:xMode val="edge"/>
          <c:yMode val="edge"/>
          <c:x val="0.14988440761765245"/>
          <c:y val="0.25888257849481944"/>
          <c:w val="0.75120105106786894"/>
          <c:h val="0.49631858691758252"/>
        </c:manualLayout>
      </c:layout>
      <c:barChart>
        <c:barDir val="col"/>
        <c:grouping val="clustered"/>
        <c:varyColors val="0"/>
        <c:ser>
          <c:idx val="0"/>
          <c:order val="0"/>
          <c:tx>
            <c:strRef>
              <c:f>Hoja1!$D$29</c:f>
              <c:strCache>
                <c:ptCount val="1"/>
              </c:strCache>
            </c:strRef>
          </c:tx>
          <c:spPr>
            <a:solidFill>
              <a:srgbClr val="FF9900"/>
            </a:solidFill>
            <a:ln>
              <a:solidFill>
                <a:schemeClr val="tx2">
                  <a:lumMod val="60000"/>
                  <a:lumOff val="40000"/>
                </a:schemeClr>
              </a:solidFill>
            </a:ln>
          </c:spPr>
          <c:invertIfNegative val="0"/>
          <c:dPt>
            <c:idx val="0"/>
            <c:invertIfNegative val="0"/>
            <c:bubble3D val="0"/>
            <c:spPr>
              <a:solidFill>
                <a:schemeClr val="tx2">
                  <a:lumMod val="75000"/>
                </a:schemeClr>
              </a:solidFill>
              <a:ln>
                <a:solidFill>
                  <a:schemeClr val="tx2">
                    <a:lumMod val="60000"/>
                    <a:lumOff val="40000"/>
                  </a:schemeClr>
                </a:solidFill>
              </a:ln>
            </c:spPr>
            <c:extLst>
              <c:ext xmlns:c16="http://schemas.microsoft.com/office/drawing/2014/chart" uri="{C3380CC4-5D6E-409C-BE32-E72D297353CC}">
                <c16:uniqueId val="{00000001-462E-42AB-87FE-E88D4CD00ED6}"/>
              </c:ext>
            </c:extLst>
          </c:dPt>
          <c:dPt>
            <c:idx val="1"/>
            <c:invertIfNegative val="0"/>
            <c:bubble3D val="0"/>
            <c:spPr>
              <a:solidFill>
                <a:schemeClr val="accent5"/>
              </a:solidFill>
              <a:ln>
                <a:solidFill>
                  <a:schemeClr val="tx2">
                    <a:lumMod val="60000"/>
                    <a:lumOff val="40000"/>
                  </a:schemeClr>
                </a:solidFill>
              </a:ln>
            </c:spPr>
            <c:extLst>
              <c:ext xmlns:c16="http://schemas.microsoft.com/office/drawing/2014/chart" uri="{C3380CC4-5D6E-409C-BE32-E72D297353CC}">
                <c16:uniqueId val="{00000003-462E-42AB-87FE-E88D4CD00ED6}"/>
              </c:ext>
            </c:extLst>
          </c:dPt>
          <c:dPt>
            <c:idx val="2"/>
            <c:invertIfNegative val="0"/>
            <c:bubble3D val="0"/>
            <c:spPr>
              <a:solidFill>
                <a:schemeClr val="accent1">
                  <a:lumMod val="40000"/>
                  <a:lumOff val="60000"/>
                </a:schemeClr>
              </a:solidFill>
              <a:ln>
                <a:solidFill>
                  <a:schemeClr val="tx2">
                    <a:lumMod val="60000"/>
                    <a:lumOff val="40000"/>
                  </a:schemeClr>
                </a:solidFill>
              </a:ln>
            </c:spPr>
            <c:extLst>
              <c:ext xmlns:c16="http://schemas.microsoft.com/office/drawing/2014/chart" uri="{C3380CC4-5D6E-409C-BE32-E72D297353CC}">
                <c16:uniqueId val="{00000005-462E-42AB-87FE-E88D4CD00ED6}"/>
              </c:ext>
            </c:extLst>
          </c:dPt>
          <c:dPt>
            <c:idx val="3"/>
            <c:invertIfNegative val="0"/>
            <c:bubble3D val="0"/>
            <c:spPr>
              <a:solidFill>
                <a:schemeClr val="accent3">
                  <a:lumMod val="75000"/>
                </a:schemeClr>
              </a:solidFill>
              <a:ln>
                <a:solidFill>
                  <a:schemeClr val="tx2">
                    <a:lumMod val="60000"/>
                    <a:lumOff val="40000"/>
                  </a:schemeClr>
                </a:solidFill>
              </a:ln>
            </c:spPr>
            <c:extLst>
              <c:ext xmlns:c16="http://schemas.microsoft.com/office/drawing/2014/chart" uri="{C3380CC4-5D6E-409C-BE32-E72D297353CC}">
                <c16:uniqueId val="{00000007-462E-42AB-87FE-E88D4CD00ED6}"/>
              </c:ext>
            </c:extLst>
          </c:dPt>
          <c:cat>
            <c:strRef>
              <c:f>Hoja1!$E$27:$H$27</c:f>
              <c:strCache>
                <c:ptCount val="3"/>
                <c:pt idx="0">
                  <c:v>Vigente</c:v>
                </c:pt>
                <c:pt idx="1">
                  <c:v>Ejecutado</c:v>
                </c:pt>
                <c:pt idx="2">
                  <c:v>Saldo por ejecutar</c:v>
                </c:pt>
              </c:strCache>
            </c:strRef>
          </c:cat>
          <c:val>
            <c:numRef>
              <c:f>Hoja1!$E$28:$H$28</c:f>
              <c:numCache>
                <c:formatCode>#,##0.00</c:formatCode>
                <c:ptCount val="3"/>
                <c:pt idx="0">
                  <c:v>339400000</c:v>
                </c:pt>
                <c:pt idx="1">
                  <c:v>258954419.06999999</c:v>
                </c:pt>
                <c:pt idx="2">
                  <c:v>80445580.930000007</c:v>
                </c:pt>
              </c:numCache>
            </c:numRef>
          </c:val>
          <c:extLst>
            <c:ext xmlns:c16="http://schemas.microsoft.com/office/drawing/2014/chart" uri="{C3380CC4-5D6E-409C-BE32-E72D297353CC}">
              <c16:uniqueId val="{00000008-462E-42AB-87FE-E88D4CD00ED6}"/>
            </c:ext>
          </c:extLst>
        </c:ser>
        <c:dLbls>
          <c:showLegendKey val="0"/>
          <c:showVal val="0"/>
          <c:showCatName val="0"/>
          <c:showSerName val="0"/>
          <c:showPercent val="0"/>
          <c:showBubbleSize val="0"/>
        </c:dLbls>
        <c:gapWidth val="150"/>
        <c:axId val="64187008"/>
        <c:axId val="64192896"/>
      </c:barChart>
      <c:catAx>
        <c:axId val="64187008"/>
        <c:scaling>
          <c:orientation val="minMax"/>
        </c:scaling>
        <c:delete val="0"/>
        <c:axPos val="b"/>
        <c:numFmt formatCode="General" sourceLinked="0"/>
        <c:majorTickMark val="out"/>
        <c:minorTickMark val="none"/>
        <c:tickLblPos val="nextTo"/>
        <c:txPr>
          <a:bodyPr/>
          <a:lstStyle/>
          <a:p>
            <a:pPr>
              <a:defRPr>
                <a:latin typeface="Copperplate32bc" pitchFamily="2" charset="0"/>
              </a:defRPr>
            </a:pPr>
            <a:endParaRPr lang="en-GT"/>
          </a:p>
        </c:txPr>
        <c:crossAx val="64192896"/>
        <c:crosses val="autoZero"/>
        <c:auto val="1"/>
        <c:lblAlgn val="ctr"/>
        <c:lblOffset val="100"/>
        <c:noMultiLvlLbl val="0"/>
      </c:catAx>
      <c:valAx>
        <c:axId val="64192896"/>
        <c:scaling>
          <c:orientation val="minMax"/>
        </c:scaling>
        <c:delete val="0"/>
        <c:axPos val="l"/>
        <c:majorGridlines>
          <c:spPr>
            <a:ln>
              <a:solidFill>
                <a:schemeClr val="bg1">
                  <a:lumMod val="75000"/>
                </a:schemeClr>
              </a:solidFill>
            </a:ln>
          </c:spPr>
        </c:majorGridlines>
        <c:numFmt formatCode="#,##0.00" sourceLinked="1"/>
        <c:majorTickMark val="out"/>
        <c:minorTickMark val="none"/>
        <c:tickLblPos val="nextTo"/>
        <c:txPr>
          <a:bodyPr/>
          <a:lstStyle/>
          <a:p>
            <a:pPr>
              <a:defRPr>
                <a:latin typeface="Copperplate32bc" pitchFamily="2" charset="0"/>
              </a:defRPr>
            </a:pPr>
            <a:endParaRPr lang="en-GT"/>
          </a:p>
        </c:txPr>
        <c:crossAx val="64187008"/>
        <c:crosses val="autoZero"/>
        <c:crossBetween val="between"/>
        <c:dispUnits>
          <c:builtInUnit val="millions"/>
        </c:dispUnits>
      </c:valAx>
      <c:dTable>
        <c:showHorzBorder val="1"/>
        <c:showVertBorder val="1"/>
        <c:showOutline val="1"/>
        <c:showKeys val="0"/>
      </c:dTable>
      <c:spPr>
        <a:ln>
          <a:solidFill>
            <a:schemeClr val="bg1">
              <a:lumMod val="75000"/>
            </a:schemeClr>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0.17268</cdr:x>
      <cdr:y>0.94252</cdr:y>
    </cdr:from>
    <cdr:to>
      <cdr:x>0.95448</cdr:x>
      <cdr:y>0.98495</cdr:y>
    </cdr:to>
    <cdr:sp macro="" textlink="">
      <cdr:nvSpPr>
        <cdr:cNvPr id="2" name="1 Cuadro de texto"/>
        <cdr:cNvSpPr txBox="1"/>
      </cdr:nvSpPr>
      <cdr:spPr>
        <a:xfrm xmlns:a="http://schemas.openxmlformats.org/drawingml/2006/main">
          <a:off x="967563" y="3306726"/>
          <a:ext cx="4380614" cy="1488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GT" sz="800"/>
            <a:t>Fuente:</a:t>
          </a:r>
          <a:r>
            <a:rPr lang="es-GT" sz="800" baseline="0"/>
            <a:t> Sistema de Contabilidad Integrada -Sicoin- </a:t>
          </a:r>
          <a:r>
            <a:rPr lang="es-GT" sz="800">
              <a:effectLst/>
              <a:latin typeface="+mn-lt"/>
              <a:ea typeface="+mn-ea"/>
              <a:cs typeface="+mn-cs"/>
            </a:rPr>
            <a:t>al 30 de noviembre MINFIN 2021</a:t>
          </a:r>
          <a:endParaRPr lang="es-GT" sz="800"/>
        </a:p>
        <a:p xmlns:a="http://schemas.openxmlformats.org/drawingml/2006/main">
          <a:endParaRPr lang="es-GT" sz="800"/>
        </a:p>
      </cdr:txBody>
    </cdr:sp>
  </cdr:relSizeAnchor>
</c:userShapes>
</file>

<file path=word/drawings/drawing2.xml><?xml version="1.0" encoding="utf-8"?>
<c:userShapes xmlns:c="http://schemas.openxmlformats.org/drawingml/2006/chart">
  <cdr:relSizeAnchor xmlns:cdr="http://schemas.openxmlformats.org/drawingml/2006/chartDrawing">
    <cdr:from>
      <cdr:x>0.1401</cdr:x>
      <cdr:y>0.93695</cdr:y>
    </cdr:from>
    <cdr:to>
      <cdr:x>0.97047</cdr:x>
      <cdr:y>0.9881</cdr:y>
    </cdr:to>
    <cdr:sp macro="" textlink="">
      <cdr:nvSpPr>
        <cdr:cNvPr id="2" name="1 CuadroTexto"/>
        <cdr:cNvSpPr txBox="1"/>
      </cdr:nvSpPr>
      <cdr:spPr>
        <a:xfrm xmlns:a="http://schemas.openxmlformats.org/drawingml/2006/main">
          <a:off x="797532" y="3527781"/>
          <a:ext cx="4726969" cy="192572"/>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a:t>
          </a:r>
          <a:r>
            <a:rPr lang="es-GT" sz="800">
              <a:effectLst/>
              <a:latin typeface="+mn-lt"/>
              <a:ea typeface="+mn-ea"/>
              <a:cs typeface="+mn-cs"/>
            </a:rPr>
            <a:t>al 30 de noviembre MINFIN 2021</a:t>
          </a:r>
          <a:endParaRPr lang="es-GT" sz="800"/>
        </a:p>
      </cdr:txBody>
    </cdr:sp>
  </cdr:relSizeAnchor>
  <cdr:relSizeAnchor xmlns:cdr="http://schemas.openxmlformats.org/drawingml/2006/chartDrawing">
    <cdr:from>
      <cdr:x>0.71774</cdr:x>
      <cdr:y>0.63997</cdr:y>
    </cdr:from>
    <cdr:to>
      <cdr:x>0.94656</cdr:x>
      <cdr:y>0.84796</cdr:y>
    </cdr:to>
    <cdr:sp macro="" textlink="">
      <cdr:nvSpPr>
        <cdr:cNvPr id="3" name="2 CuadroTexto"/>
        <cdr:cNvSpPr txBox="1"/>
      </cdr:nvSpPr>
      <cdr:spPr>
        <a:xfrm xmlns:a="http://schemas.openxmlformats.org/drawingml/2006/main">
          <a:off x="3963340" y="1649094"/>
          <a:ext cx="1263518" cy="53596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GT" sz="1050" b="1"/>
            <a:t>% de Ejecución:</a:t>
          </a:r>
        </a:p>
        <a:p xmlns:a="http://schemas.openxmlformats.org/drawingml/2006/main">
          <a:pPr algn="ctr"/>
          <a:r>
            <a:rPr lang="es-GT" sz="1050"/>
            <a:t>76.30%</a:t>
          </a:r>
        </a:p>
      </cdr:txBody>
    </cdr:sp>
  </cdr:relSizeAnchor>
</c:userShapes>
</file>

<file path=word/drawings/drawing3.xml><?xml version="1.0" encoding="utf-8"?>
<c:userShapes xmlns:c="http://schemas.openxmlformats.org/drawingml/2006/chart">
  <cdr:relSizeAnchor xmlns:cdr="http://schemas.openxmlformats.org/drawingml/2006/chartDrawing">
    <cdr:from>
      <cdr:x>0.08681</cdr:x>
      <cdr:y>0.93834</cdr:y>
    </cdr:from>
    <cdr:to>
      <cdr:x>0.84809</cdr:x>
      <cdr:y>1</cdr:y>
    </cdr:to>
    <cdr:sp macro="" textlink="">
      <cdr:nvSpPr>
        <cdr:cNvPr id="2" name="1 CuadroTexto"/>
        <cdr:cNvSpPr txBox="1"/>
      </cdr:nvSpPr>
      <cdr:spPr>
        <a:xfrm xmlns:a="http://schemas.openxmlformats.org/drawingml/2006/main">
          <a:off x="617517" y="3063834"/>
          <a:ext cx="5415148" cy="2013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al 30  de noviembre ,Ministerio de Finanzas Públicas 2021 </a:t>
          </a:r>
          <a:endParaRPr lang="es-GT" sz="800"/>
        </a:p>
      </cdr:txBody>
    </cdr:sp>
  </cdr:relSizeAnchor>
</c:userShapes>
</file>

<file path=word/drawings/drawing4.xml><?xml version="1.0" encoding="utf-8"?>
<c:userShapes xmlns:c="http://schemas.openxmlformats.org/drawingml/2006/chart">
  <cdr:relSizeAnchor xmlns:cdr="http://schemas.openxmlformats.org/drawingml/2006/chartDrawing">
    <cdr:from>
      <cdr:x>0.11469</cdr:x>
      <cdr:y>0.9418</cdr:y>
    </cdr:from>
    <cdr:to>
      <cdr:x>1</cdr:x>
      <cdr:y>1</cdr:y>
    </cdr:to>
    <cdr:sp macro="" textlink="">
      <cdr:nvSpPr>
        <cdr:cNvPr id="2" name="1 CuadroTexto"/>
        <cdr:cNvSpPr txBox="1"/>
      </cdr:nvSpPr>
      <cdr:spPr>
        <a:xfrm xmlns:a="http://schemas.openxmlformats.org/drawingml/2006/main">
          <a:off x="640474" y="3064472"/>
          <a:ext cx="4940928" cy="189367"/>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al 30  de noviembre ,Ministerio de Finanzas Públicas 2021</a:t>
          </a:r>
          <a:endParaRPr lang="es-GT" sz="800"/>
        </a:p>
      </cdr:txBody>
    </cdr:sp>
  </cdr:relSizeAnchor>
</c:userShapes>
</file>

<file path=word/drawings/drawing5.xml><?xml version="1.0" encoding="utf-8"?>
<c:userShapes xmlns:c="http://schemas.openxmlformats.org/drawingml/2006/chart">
  <cdr:relSizeAnchor xmlns:cdr="http://schemas.openxmlformats.org/drawingml/2006/chartDrawing">
    <cdr:from>
      <cdr:x>0.08654</cdr:x>
      <cdr:y>0.9418</cdr:y>
    </cdr:from>
    <cdr:to>
      <cdr:x>0.97185</cdr:x>
      <cdr:y>1</cdr:y>
    </cdr:to>
    <cdr:sp macro="" textlink="">
      <cdr:nvSpPr>
        <cdr:cNvPr id="2" name="1 CuadroTexto"/>
        <cdr:cNvSpPr txBox="1"/>
      </cdr:nvSpPr>
      <cdr:spPr>
        <a:xfrm xmlns:a="http://schemas.openxmlformats.org/drawingml/2006/main">
          <a:off x="477872" y="3187525"/>
          <a:ext cx="4888647" cy="196943"/>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800"/>
            <a:t>Fuente:</a:t>
          </a:r>
          <a:r>
            <a:rPr lang="es-GT" sz="800" baseline="0"/>
            <a:t> Sistema de Contabilidad Integrada -Sicoin-  al 30  de noviembre, Ministerio de Finanzas Públicas 2021</a:t>
          </a:r>
          <a:endParaRPr lang="es-GT" sz="800"/>
        </a:p>
      </cdr:txBody>
    </cdr:sp>
  </cdr:relSizeAnchor>
</c:userShapes>
</file>

<file path=word/drawings/drawing6.xml><?xml version="1.0" encoding="utf-8"?>
<c:userShapes xmlns:c="http://schemas.openxmlformats.org/drawingml/2006/chart">
  <cdr:relSizeAnchor xmlns:cdr="http://schemas.openxmlformats.org/drawingml/2006/chartDrawing">
    <cdr:from>
      <cdr:x>0.14758</cdr:x>
      <cdr:y>0.89362</cdr:y>
    </cdr:from>
    <cdr:to>
      <cdr:x>0.90681</cdr:x>
      <cdr:y>0.94305</cdr:y>
    </cdr:to>
    <cdr:sp macro="" textlink="">
      <cdr:nvSpPr>
        <cdr:cNvPr id="3" name="2 Cuadro de texto"/>
        <cdr:cNvSpPr txBox="1"/>
      </cdr:nvSpPr>
      <cdr:spPr>
        <a:xfrm xmlns:a="http://schemas.openxmlformats.org/drawingml/2006/main">
          <a:off x="902525" y="2790701"/>
          <a:ext cx="4643252" cy="154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dr:relSizeAnchor xmlns:cdr="http://schemas.openxmlformats.org/drawingml/2006/chartDrawing">
    <cdr:from>
      <cdr:x>0.08645</cdr:x>
      <cdr:y>0.93694</cdr:y>
    </cdr:from>
    <cdr:to>
      <cdr:x>0.88581</cdr:x>
      <cdr:y>1</cdr:y>
    </cdr:to>
    <cdr:sp macro="" textlink="">
      <cdr:nvSpPr>
        <cdr:cNvPr id="4" name="1 CuadroTexto"/>
        <cdr:cNvSpPr txBox="1"/>
      </cdr:nvSpPr>
      <cdr:spPr>
        <a:xfrm xmlns:a="http://schemas.openxmlformats.org/drawingml/2006/main">
          <a:off x="528672" y="3237772"/>
          <a:ext cx="4888647" cy="196943"/>
        </a:xfrm>
        <a:prstGeom xmlns:a="http://schemas.openxmlformats.org/drawingml/2006/main" prst="rect">
          <a:avLst/>
        </a:prstGeom>
      </cdr:spPr>
    </cdr:sp>
  </cdr:relSizeAnchor>
  <cdr:relSizeAnchor xmlns:cdr="http://schemas.openxmlformats.org/drawingml/2006/chartDrawing">
    <cdr:from>
      <cdr:x>0.11651</cdr:x>
      <cdr:y>0.89742</cdr:y>
    </cdr:from>
    <cdr:to>
      <cdr:x>0.9204</cdr:x>
      <cdr:y>0.94305</cdr:y>
    </cdr:to>
    <cdr:sp macro="" textlink="">
      <cdr:nvSpPr>
        <cdr:cNvPr id="5" name="4 Cuadro de texto"/>
        <cdr:cNvSpPr txBox="1"/>
      </cdr:nvSpPr>
      <cdr:spPr>
        <a:xfrm xmlns:a="http://schemas.openxmlformats.org/drawingml/2006/main">
          <a:off x="712520" y="2802576"/>
          <a:ext cx="4916384" cy="1425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GT" sz="800">
              <a:latin typeface="+mn-lt"/>
              <a:cs typeface="Times New Roman" pitchFamily="18" charset="0"/>
            </a:rPr>
            <a:t>Fuente:</a:t>
          </a:r>
          <a:r>
            <a:rPr lang="es-GT" sz="800" baseline="0">
              <a:latin typeface="+mn-lt"/>
              <a:cs typeface="Times New Roman" pitchFamily="18" charset="0"/>
            </a:rPr>
            <a:t> Sistema de Contabilidad Integrada -Sicoin-  al 30  de noviembre, Ministerio de Finanzas Públicas 2021</a:t>
          </a:r>
          <a:endParaRPr lang="es-GT" sz="800">
            <a:latin typeface="+mn-lt"/>
            <a:cs typeface="Times New Roman" pitchFamily="18" charset="0"/>
          </a:endParaRPr>
        </a:p>
        <a:p xmlns:a="http://schemas.openxmlformats.org/drawingml/2006/main">
          <a:endParaRPr lang="es-GT" sz="800">
            <a:latin typeface="+mn-lt"/>
            <a:cs typeface="Times New Roman"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2D727-F98E-41BD-AF62-3D2BFA07B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4810</Words>
  <Characters>27421</Characters>
  <Application>Microsoft Office Word</Application>
  <DocSecurity>0</DocSecurity>
  <Lines>228</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Contreras Figueroa</dc:creator>
  <cp:lastModifiedBy>Microsoft Office User</cp:lastModifiedBy>
  <cp:revision>6</cp:revision>
  <cp:lastPrinted>2021-12-14T14:42:00Z</cp:lastPrinted>
  <dcterms:created xsi:type="dcterms:W3CDTF">2021-12-17T21:27:00Z</dcterms:created>
  <dcterms:modified xsi:type="dcterms:W3CDTF">2021-12-20T17:52:00Z</dcterms:modified>
</cp:coreProperties>
</file>