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C18C4" w:rsidR="006C0738" w:rsidP="006C0738" w:rsidRDefault="006C0738" w14:paraId="5B9D4E42" w14:textId="77777777">
      <w:pPr>
        <w:pStyle w:val="Sinespaciado"/>
        <w:numPr>
          <w:ilvl w:val="0"/>
          <w:numId w:val="33"/>
        </w:numPr>
        <w:ind w:right="-660"/>
        <w:rPr>
          <w:rFonts w:ascii="Verdana" w:hAnsi="Verdana" w:cs="Arial"/>
          <w:b/>
          <w:bCs/>
          <w:sz w:val="20"/>
          <w:szCs w:val="20"/>
          <w:u w:val="single"/>
        </w:rPr>
      </w:pPr>
      <w:r w:rsidRPr="00AC18C4">
        <w:rPr>
          <w:rFonts w:ascii="Verdana" w:hAnsi="Verdana" w:cs="Arial"/>
          <w:b/>
          <w:bCs/>
          <w:sz w:val="20"/>
          <w:szCs w:val="20"/>
          <w:u w:val="single"/>
        </w:rPr>
        <w:t>DESARROLLO DE ALIANZAS ESTRATÉGICAS PARA EL RESCATE DEL LAGO DE ATITLAN Y SU CUENCA.</w:t>
      </w:r>
    </w:p>
    <w:p w:rsidRPr="00AC18C4" w:rsidR="006C0738" w:rsidP="006C0738" w:rsidRDefault="006C0738" w14:paraId="3CD02EB7" w14:textId="77777777">
      <w:pPr>
        <w:pStyle w:val="Sinespaciado"/>
        <w:ind w:left="-284" w:right="-660"/>
        <w:rPr>
          <w:rFonts w:ascii="Verdana" w:hAnsi="Verdana" w:cs="Arial"/>
          <w:b/>
          <w:bCs/>
          <w:sz w:val="20"/>
          <w:szCs w:val="20"/>
          <w:u w:val="single"/>
        </w:rPr>
      </w:pPr>
    </w:p>
    <w:p w:rsidRPr="00CE312F" w:rsidR="006C0738" w:rsidP="006C0738" w:rsidRDefault="006C0738" w14:paraId="199CFC2C" w14:textId="77777777">
      <w:pPr>
        <w:jc w:val="both"/>
        <w:rPr>
          <w:rFonts w:ascii="Verdana" w:hAnsi="Verdana"/>
          <w:b/>
          <w:sz w:val="20"/>
          <w:szCs w:val="20"/>
          <w:lang w:val="es-419"/>
        </w:rPr>
      </w:pPr>
      <w:r w:rsidRPr="00CE312F">
        <w:rPr>
          <w:rFonts w:ascii="Verdana" w:hAnsi="Verdana"/>
          <w:b/>
          <w:sz w:val="20"/>
          <w:szCs w:val="20"/>
          <w:lang w:val="es-419"/>
        </w:rPr>
        <w:t>Coordinación de las municipalidades de la cuenca del lago de Atitlán, la vicepresidencia, la cooperación internacional y AMSCLAE</w:t>
      </w:r>
    </w:p>
    <w:p w:rsidR="006C0738" w:rsidP="006C0738" w:rsidRDefault="006C0738" w14:paraId="3682E7B8" w14:textId="77777777">
      <w:pPr>
        <w:jc w:val="both"/>
        <w:rPr>
          <w:rFonts w:ascii="Verdana" w:hAnsi="Verdana"/>
          <w:sz w:val="20"/>
          <w:szCs w:val="20"/>
        </w:rPr>
      </w:pPr>
      <w:r w:rsidRPr="00CE312F">
        <w:rPr>
          <w:rFonts w:ascii="Verdana" w:hAnsi="Verdana"/>
          <w:b/>
          <w:noProof/>
          <w:sz w:val="20"/>
          <w:szCs w:val="20"/>
          <w:lang w:val="es-ES" w:eastAsia="es-ES"/>
        </w:rPr>
        <w:drawing>
          <wp:anchor distT="0" distB="0" distL="114300" distR="114300" simplePos="0" relativeHeight="251725824" behindDoc="0" locked="0" layoutInCell="1" allowOverlap="1" wp14:anchorId="7EDF5733" wp14:editId="59212D12">
            <wp:simplePos x="0" y="0"/>
            <wp:positionH relativeFrom="column">
              <wp:posOffset>3963670</wp:posOffset>
            </wp:positionH>
            <wp:positionV relativeFrom="paragraph">
              <wp:posOffset>8890</wp:posOffset>
            </wp:positionV>
            <wp:extent cx="1665605" cy="949325"/>
            <wp:effectExtent l="0" t="0" r="0" b="3175"/>
            <wp:wrapSquare wrapText="bothSides"/>
            <wp:docPr id="31" name="Imagen 31" descr="C:\Users\Izquierdo\Desktop\informe VP\14. Presentación de Cartera de proyectos\151832879_3805352012853901_28843678387709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zquierdo\Desktop\informe VP\14. Presentación de Cartera de proyectos\151832879_3805352012853901_28843678387709445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560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2F" w:rsidR="006C0738">
        <w:rPr>
          <w:rFonts w:ascii="Verdana" w:hAnsi="Verdana"/>
          <w:sz w:val="20"/>
          <w:szCs w:val="20"/>
        </w:rPr>
        <w:t xml:space="preserve">El Vicepresidente de la República, Guillermo Castillo Reyes, en coordinación con AMSCLAE y cooperación internacional, sostuvieron reunión de coordinación con trece alcaldes municipales, quienes presentaron proyectos para resolver las problemáticas que afectan a los municipios de la cuenca del lago, entre otros: manejo de basura, el tratamiento de las aguas residuales y el abastecimiento de agua. La </w:t>
      </w:r>
      <w:r w:rsidRPr="00CE312F" w:rsidR="006C0738">
        <w:rPr>
          <w:rFonts w:ascii="Verdana" w:hAnsi="Verdana"/>
          <w:sz w:val="20"/>
          <w:szCs w:val="20"/>
          <w:lang w:val="es-419"/>
        </w:rPr>
        <w:t xml:space="preserve">reunión </w:t>
      </w:r>
      <w:r w:rsidRPr="00CE312F" w:rsidR="006C0738">
        <w:rPr>
          <w:rFonts w:ascii="Verdana" w:hAnsi="Verdana"/>
          <w:sz w:val="20"/>
          <w:szCs w:val="20"/>
        </w:rPr>
        <w:t xml:space="preserve">tuvo lugar en San Pedro la Laguna y contó participación de los embajadores del Reino de España señor José María </w:t>
      </w:r>
      <w:proofErr w:type="spellStart"/>
      <w:r w:rsidRPr="00CE312F" w:rsidR="006C0738">
        <w:rPr>
          <w:rFonts w:ascii="Verdana" w:hAnsi="Verdana"/>
          <w:sz w:val="20"/>
          <w:szCs w:val="20"/>
        </w:rPr>
        <w:t>Laviña</w:t>
      </w:r>
      <w:proofErr w:type="spellEnd"/>
      <w:r w:rsidRPr="00CE312F" w:rsidR="006C0738">
        <w:rPr>
          <w:rFonts w:ascii="Verdana" w:hAnsi="Verdana"/>
          <w:sz w:val="20"/>
          <w:szCs w:val="20"/>
        </w:rPr>
        <w:t xml:space="preserve"> y el embajador de la Unión Europea, señor Thomas </w:t>
      </w:r>
      <w:proofErr w:type="spellStart"/>
      <w:r w:rsidRPr="00CE312F" w:rsidR="006C0738">
        <w:rPr>
          <w:rFonts w:ascii="Verdana" w:hAnsi="Verdana"/>
          <w:sz w:val="20"/>
          <w:szCs w:val="20"/>
        </w:rPr>
        <w:t>Peyker</w:t>
      </w:r>
      <w:proofErr w:type="spellEnd"/>
      <w:r w:rsidRPr="00CE312F" w:rsidR="006C0738">
        <w:rPr>
          <w:rFonts w:ascii="Verdana" w:hAnsi="Verdana"/>
          <w:sz w:val="20"/>
          <w:szCs w:val="20"/>
        </w:rPr>
        <w:t>.</w:t>
      </w:r>
    </w:p>
    <w:p w:rsidR="006C0738" w:rsidP="006C0738" w:rsidRDefault="006C0738" w14:paraId="57005F79" w14:textId="77777777">
      <w:pPr>
        <w:jc w:val="both"/>
        <w:rPr>
          <w:rFonts w:ascii="Verdana" w:hAnsi="Verdana"/>
          <w:sz w:val="20"/>
          <w:szCs w:val="20"/>
        </w:rPr>
      </w:pPr>
      <w:r w:rsidRPr="00CE312F">
        <w:rPr>
          <w:rFonts w:ascii="Verdana" w:hAnsi="Verdana"/>
          <w:sz w:val="20"/>
          <w:szCs w:val="20"/>
          <w:lang w:val="es-419"/>
        </w:rPr>
        <w:t>Durante el evento se presentó la</w:t>
      </w:r>
      <w:r w:rsidRPr="00CE312F">
        <w:rPr>
          <w:rFonts w:ascii="Verdana" w:hAnsi="Verdana"/>
          <w:sz w:val="20"/>
          <w:szCs w:val="20"/>
        </w:rPr>
        <w:t xml:space="preserve"> cartera de proyectos de inversión para desarrollar Plantas de Tratamiento de Aguas Residuales (PTAR), Plantas de Tratamiento de Residuos y Desechos Sólidos y Proyectos de Agua Potable.</w:t>
      </w:r>
      <w:r w:rsidRPr="00CE312F">
        <w:rPr>
          <w:rFonts w:ascii="Verdana" w:hAnsi="Verdana"/>
          <w:sz w:val="20"/>
          <w:szCs w:val="20"/>
          <w:lang w:val="es-419"/>
        </w:rPr>
        <w:t xml:space="preserve"> </w:t>
      </w:r>
      <w:r w:rsidRPr="00CE312F">
        <w:rPr>
          <w:rFonts w:ascii="Verdana" w:hAnsi="Verdana"/>
          <w:sz w:val="20"/>
          <w:szCs w:val="20"/>
        </w:rPr>
        <w:t xml:space="preserve">AMSCLAE presentó el resumen de los proyectos y los montos de inversión, resaltando que estos proyectos responden a las </w:t>
      </w:r>
      <w:r w:rsidRPr="00CE312F">
        <w:rPr>
          <w:rFonts w:ascii="Verdana" w:hAnsi="Verdana"/>
          <w:sz w:val="20"/>
          <w:szCs w:val="20"/>
          <w:lang w:val="es-419"/>
        </w:rPr>
        <w:t>propuestas</w:t>
      </w:r>
      <w:r w:rsidRPr="00CE312F">
        <w:rPr>
          <w:rFonts w:ascii="Verdana" w:hAnsi="Verdana"/>
          <w:sz w:val="20"/>
          <w:szCs w:val="20"/>
        </w:rPr>
        <w:t xml:space="preserve"> concretas </w:t>
      </w:r>
      <w:r w:rsidRPr="00CE312F">
        <w:rPr>
          <w:rFonts w:ascii="Verdana" w:hAnsi="Verdana"/>
          <w:sz w:val="20"/>
          <w:szCs w:val="20"/>
          <w:lang w:val="es-419"/>
        </w:rPr>
        <w:t>por</w:t>
      </w:r>
      <w:r w:rsidRPr="00CE312F">
        <w:rPr>
          <w:rFonts w:ascii="Verdana" w:hAnsi="Verdana"/>
          <w:sz w:val="20"/>
          <w:szCs w:val="20"/>
        </w:rPr>
        <w:t xml:space="preserve"> las Direcciones Municipales de Planificación (DMP). La sub directora de AMSCLAE explicó que estos no son solamente proyectos "ambientales", sino son proyectos de protección de la vida y salud de la población de la cuenca.</w:t>
      </w:r>
    </w:p>
    <w:p w:rsidR="006C0738" w:rsidP="006C0738" w:rsidRDefault="006C0738" w14:paraId="445B98CC" w14:textId="77777777">
      <w:pPr>
        <w:jc w:val="both"/>
        <w:rPr>
          <w:rFonts w:ascii="Verdana" w:hAnsi="Verdana"/>
          <w:sz w:val="20"/>
          <w:szCs w:val="20"/>
        </w:rPr>
      </w:pPr>
      <w:r w:rsidRPr="00CE312F">
        <w:rPr>
          <w:rFonts w:ascii="Verdana" w:hAnsi="Verdana"/>
          <w:sz w:val="20"/>
          <w:szCs w:val="20"/>
          <w:lang w:val="es-419"/>
        </w:rPr>
        <w:t>Todos l</w:t>
      </w:r>
      <w:r w:rsidRPr="00CE312F">
        <w:rPr>
          <w:rFonts w:ascii="Verdana" w:hAnsi="Verdana"/>
          <w:sz w:val="20"/>
          <w:szCs w:val="20"/>
        </w:rPr>
        <w:t>os alcalde</w:t>
      </w:r>
      <w:r w:rsidRPr="00CE312F">
        <w:rPr>
          <w:rFonts w:ascii="Verdana" w:hAnsi="Verdana"/>
          <w:sz w:val="20"/>
          <w:szCs w:val="20"/>
          <w:lang w:val="es-419"/>
        </w:rPr>
        <w:t>s solicitaron</w:t>
      </w:r>
      <w:r w:rsidRPr="00CE312F">
        <w:rPr>
          <w:rFonts w:ascii="Verdana" w:hAnsi="Verdana"/>
          <w:sz w:val="20"/>
          <w:szCs w:val="20"/>
        </w:rPr>
        <w:t xml:space="preserve">s </w:t>
      </w:r>
      <w:r w:rsidRPr="00CE312F">
        <w:rPr>
          <w:rFonts w:ascii="Verdana" w:hAnsi="Verdana"/>
          <w:sz w:val="20"/>
          <w:szCs w:val="20"/>
          <w:lang w:val="es-419"/>
        </w:rPr>
        <w:t xml:space="preserve">presentes </w:t>
      </w:r>
      <w:proofErr w:type="spellStart"/>
      <w:r w:rsidRPr="00CE312F">
        <w:rPr>
          <w:rFonts w:ascii="Verdana" w:hAnsi="Verdana"/>
          <w:sz w:val="20"/>
          <w:szCs w:val="20"/>
        </w:rPr>
        <w:t>intervie</w:t>
      </w:r>
      <w:proofErr w:type="spellEnd"/>
      <w:r w:rsidRPr="00CE312F">
        <w:rPr>
          <w:rFonts w:ascii="Verdana" w:hAnsi="Verdana"/>
          <w:sz w:val="20"/>
          <w:szCs w:val="20"/>
          <w:lang w:val="es-419"/>
        </w:rPr>
        <w:t>nie</w:t>
      </w:r>
      <w:r w:rsidRPr="00CE312F">
        <w:rPr>
          <w:rFonts w:ascii="Verdana" w:hAnsi="Verdana"/>
          <w:sz w:val="20"/>
          <w:szCs w:val="20"/>
        </w:rPr>
        <w:t>ron para pedir ayuda a la cooperación internacional y al gobierno central</w:t>
      </w:r>
      <w:r w:rsidRPr="00CE312F">
        <w:rPr>
          <w:rFonts w:ascii="Verdana" w:hAnsi="Verdana"/>
          <w:sz w:val="20"/>
          <w:szCs w:val="20"/>
          <w:lang w:val="es-419"/>
        </w:rPr>
        <w:t>,</w:t>
      </w:r>
      <w:r w:rsidRPr="00CE312F">
        <w:rPr>
          <w:rFonts w:ascii="Verdana" w:hAnsi="Verdana"/>
          <w:sz w:val="20"/>
          <w:szCs w:val="20"/>
        </w:rPr>
        <w:t xml:space="preserve"> indicando que es necesario actuar</w:t>
      </w:r>
      <w:r w:rsidRPr="00CE312F">
        <w:rPr>
          <w:rFonts w:ascii="Verdana" w:hAnsi="Verdana"/>
          <w:sz w:val="20"/>
          <w:szCs w:val="20"/>
          <w:lang w:val="es-419"/>
        </w:rPr>
        <w:t xml:space="preserve"> de forma inmediata</w:t>
      </w:r>
      <w:r w:rsidRPr="00CE312F">
        <w:rPr>
          <w:rFonts w:ascii="Verdana" w:hAnsi="Verdana"/>
          <w:sz w:val="20"/>
          <w:szCs w:val="20"/>
        </w:rPr>
        <w:t xml:space="preserve"> </w:t>
      </w:r>
      <w:r w:rsidRPr="00CE312F">
        <w:rPr>
          <w:rFonts w:ascii="Verdana" w:hAnsi="Verdana"/>
          <w:sz w:val="20"/>
          <w:szCs w:val="20"/>
          <w:lang w:val="es-419"/>
        </w:rPr>
        <w:t>para</w:t>
      </w:r>
      <w:r w:rsidRPr="00CE312F">
        <w:rPr>
          <w:rFonts w:ascii="Verdana" w:hAnsi="Verdana"/>
          <w:sz w:val="20"/>
          <w:szCs w:val="20"/>
        </w:rPr>
        <w:t xml:space="preserve"> construir la infraestructura necesaria.</w:t>
      </w:r>
    </w:p>
    <w:p w:rsidRPr="001B3C6F" w:rsidR="006C0738" w:rsidP="006C0738" w:rsidRDefault="006C0738" w14:paraId="09019CE9" w14:textId="77777777">
      <w:pPr>
        <w:jc w:val="both"/>
        <w:rPr>
          <w:rFonts w:ascii="Verdana" w:hAnsi="Verdana"/>
          <w:sz w:val="20"/>
          <w:szCs w:val="20"/>
        </w:rPr>
      </w:pPr>
      <w:r w:rsidRPr="001B3C6F">
        <w:rPr>
          <w:rFonts w:ascii="Verdana" w:hAnsi="Verdana"/>
          <w:sz w:val="20"/>
          <w:szCs w:val="20"/>
        </w:rPr>
        <w:t>La cartera consta de 70 proyectos, 37 de Plantas de Tratamiento de Aguas Residuales por un monto de inversión de Q.184,900,577.64; 27 de Plantas de Tratamiento de Residuos Sólidos por Q.101,858,576.58; 4 de Agua Potable por Q.32,525,000.00 y 2 de alcantarillados urbanos y pluviales para las municipalidades de la cuenca con un monto de Q353,737,659.00. Invertir en agua y saneamiento ambiental para el rescate del lago de Atitlán, es una prioridad nacional urgente.</w:t>
      </w:r>
    </w:p>
    <w:p w:rsidR="006C0738" w:rsidP="006C0738" w:rsidRDefault="006C0738" w14:paraId="1DED3F1C" w14:textId="77777777">
      <w:pPr>
        <w:jc w:val="both"/>
        <w:rPr>
          <w:rFonts w:ascii="Verdana" w:hAnsi="Verdana"/>
          <w:b/>
          <w:sz w:val="20"/>
          <w:szCs w:val="20"/>
        </w:rPr>
      </w:pPr>
      <w:r w:rsidRPr="00CE312F">
        <w:rPr>
          <w:rFonts w:ascii="Verdana" w:hAnsi="Verdana"/>
          <w:b/>
          <w:sz w:val="20"/>
          <w:szCs w:val="20"/>
          <w:lang w:val="es-419"/>
        </w:rPr>
        <w:t>Vicepresidente de la República dialoga</w:t>
      </w:r>
      <w:r w:rsidRPr="00CE312F">
        <w:rPr>
          <w:rFonts w:ascii="Verdana" w:hAnsi="Verdana"/>
          <w:b/>
          <w:sz w:val="20"/>
          <w:szCs w:val="20"/>
        </w:rPr>
        <w:t xml:space="preserve"> con la juventud de la Cuenca del Lago de Atitlán</w:t>
      </w:r>
    </w:p>
    <w:p w:rsidRPr="00CE312F" w:rsidR="006C0738" w:rsidP="006C0738" w:rsidRDefault="006C0738" w14:paraId="319ACBF2" w14:textId="77777777">
      <w:pPr>
        <w:jc w:val="both"/>
        <w:rPr>
          <w:rFonts w:ascii="Verdana" w:hAnsi="Verdana"/>
          <w:sz w:val="20"/>
          <w:szCs w:val="20"/>
        </w:rPr>
      </w:pPr>
      <w:r w:rsidRPr="00CE312F">
        <w:rPr>
          <w:rFonts w:ascii="Verdana" w:hAnsi="Verdana" w:eastAsia="Times New Roman" w:cs="Segoe UI"/>
          <w:noProof/>
          <w:sz w:val="20"/>
          <w:szCs w:val="20"/>
          <w:lang w:val="es-ES" w:eastAsia="es-ES"/>
        </w:rPr>
        <w:drawing>
          <wp:anchor distT="0" distB="0" distL="114300" distR="114300" simplePos="0" relativeHeight="251726848" behindDoc="0" locked="0" layoutInCell="1" allowOverlap="1" wp14:anchorId="68CAFAF5" wp14:editId="4E0A66AA">
            <wp:simplePos x="0" y="0"/>
            <wp:positionH relativeFrom="margin">
              <wp:align>right</wp:align>
            </wp:positionH>
            <wp:positionV relativeFrom="paragraph">
              <wp:posOffset>3810</wp:posOffset>
            </wp:positionV>
            <wp:extent cx="1531620" cy="1019175"/>
            <wp:effectExtent l="0" t="0" r="0" b="9525"/>
            <wp:wrapSquare wrapText="bothSides"/>
            <wp:docPr id="8" name="Imagen 8" descr="C:\Users\Izquierdo\Desktop\d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quierdo\Desktop\dial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62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2F" w:rsidR="006C0738">
        <w:rPr>
          <w:rFonts w:ascii="Verdana" w:hAnsi="Verdana"/>
          <w:sz w:val="20"/>
          <w:szCs w:val="20"/>
        </w:rPr>
        <w:t xml:space="preserve">Con el objetivo de conocer y conversar con la juventud sobre las inquietudes, retos y necesidades, el </w:t>
      </w:r>
      <w:proofErr w:type="gramStart"/>
      <w:r w:rsidRPr="00CE312F" w:rsidR="006C0738">
        <w:rPr>
          <w:rFonts w:ascii="Verdana" w:hAnsi="Verdana"/>
          <w:sz w:val="20"/>
          <w:szCs w:val="20"/>
        </w:rPr>
        <w:t>Vicepresidente</w:t>
      </w:r>
      <w:proofErr w:type="gramEnd"/>
      <w:r w:rsidRPr="00CE312F" w:rsidR="006C0738">
        <w:rPr>
          <w:rFonts w:ascii="Verdana" w:hAnsi="Verdana"/>
          <w:sz w:val="20"/>
          <w:szCs w:val="20"/>
        </w:rPr>
        <w:t xml:space="preserve"> Guillermo Castillo Reyes sostuvo reunión con líderes y lideresas representantes de este sector en el departamento.</w:t>
      </w:r>
    </w:p>
    <w:p w:rsidRPr="00CE312F" w:rsidR="006C0738" w:rsidP="006C0738" w:rsidRDefault="006C0738" w14:paraId="1A8ED44A" w14:textId="77777777">
      <w:pPr>
        <w:jc w:val="both"/>
        <w:rPr>
          <w:rFonts w:ascii="Verdana" w:hAnsi="Verdana"/>
          <w:sz w:val="20"/>
          <w:szCs w:val="20"/>
        </w:rPr>
      </w:pPr>
      <w:r w:rsidRPr="00CE312F">
        <w:rPr>
          <w:rFonts w:ascii="Verdana" w:hAnsi="Verdana"/>
          <w:sz w:val="20"/>
          <w:szCs w:val="20"/>
        </w:rPr>
        <w:t>Los jóvenes expusieron algunas de las propuestas, entre las que destacaron: 1) Eliminar la violencia contra la mujer y la niñez,</w:t>
      </w:r>
      <w:r w:rsidRPr="00CE312F">
        <w:rPr>
          <w:rFonts w:ascii="Verdana" w:hAnsi="Verdana"/>
          <w:sz w:val="20"/>
          <w:szCs w:val="20"/>
          <w:lang w:val="es-419"/>
        </w:rPr>
        <w:t xml:space="preserve"> </w:t>
      </w:r>
      <w:r w:rsidRPr="00CE312F">
        <w:rPr>
          <w:rFonts w:ascii="Verdana" w:hAnsi="Verdana"/>
          <w:sz w:val="20"/>
          <w:szCs w:val="20"/>
        </w:rPr>
        <w:t xml:space="preserve">2) Fomentar la participación de la juventud y </w:t>
      </w:r>
      <w:r w:rsidRPr="00CE312F">
        <w:rPr>
          <w:rFonts w:ascii="Verdana" w:hAnsi="Verdana"/>
          <w:sz w:val="20"/>
          <w:szCs w:val="20"/>
          <w:lang w:val="es-419"/>
        </w:rPr>
        <w:t>promover</w:t>
      </w:r>
      <w:r w:rsidRPr="00CE312F">
        <w:rPr>
          <w:rFonts w:ascii="Verdana" w:hAnsi="Verdana"/>
          <w:sz w:val="20"/>
          <w:szCs w:val="20"/>
        </w:rPr>
        <w:t xml:space="preserve"> espacios de participación política, </w:t>
      </w:r>
      <w:r w:rsidRPr="00CE312F">
        <w:rPr>
          <w:rFonts w:ascii="Verdana" w:hAnsi="Verdana"/>
          <w:sz w:val="20"/>
          <w:szCs w:val="20"/>
        </w:rPr>
        <w:lastRenderedPageBreak/>
        <w:t>3) Concentrar esfuerzos en agua potable y saneamiento (basura y aguas residuales) y 4) La creación de empleo y oportunidades de educación.</w:t>
      </w:r>
    </w:p>
    <w:p w:rsidRPr="00CE312F" w:rsidR="006C0738" w:rsidP="006C0738" w:rsidRDefault="006C0738" w14:paraId="7472D865" w14:textId="77777777">
      <w:pPr>
        <w:jc w:val="both"/>
        <w:rPr>
          <w:rFonts w:ascii="Verdana" w:hAnsi="Verdana"/>
          <w:sz w:val="20"/>
          <w:szCs w:val="20"/>
        </w:rPr>
      </w:pPr>
      <w:r w:rsidRPr="00CE312F">
        <w:rPr>
          <w:rFonts w:ascii="Verdana" w:hAnsi="Verdana"/>
          <w:sz w:val="20"/>
          <w:szCs w:val="20"/>
        </w:rPr>
        <w:t>El vicepresidente manifestó</w:t>
      </w:r>
      <w:r w:rsidRPr="00CE312F">
        <w:rPr>
          <w:rFonts w:ascii="Verdana" w:hAnsi="Verdana"/>
          <w:sz w:val="20"/>
          <w:szCs w:val="20"/>
          <w:lang w:val="es-419"/>
        </w:rPr>
        <w:t>,</w:t>
      </w:r>
      <w:r>
        <w:rPr>
          <w:rFonts w:ascii="Verdana" w:hAnsi="Verdana"/>
          <w:sz w:val="20"/>
          <w:szCs w:val="20"/>
          <w:lang w:val="es-419"/>
        </w:rPr>
        <w:t xml:space="preserve"> </w:t>
      </w:r>
      <w:r w:rsidRPr="00CE312F">
        <w:rPr>
          <w:rFonts w:ascii="Verdana" w:hAnsi="Verdana"/>
          <w:sz w:val="20"/>
          <w:szCs w:val="20"/>
          <w:lang w:val="es-419"/>
        </w:rPr>
        <w:t>“</w:t>
      </w:r>
      <w:r w:rsidRPr="00CE312F">
        <w:rPr>
          <w:rFonts w:ascii="Verdana" w:hAnsi="Verdana"/>
          <w:sz w:val="20"/>
          <w:szCs w:val="20"/>
        </w:rPr>
        <w:t>Aquí no está el futuro del país, aquí está el presente del liderazgo del país, un liderazgo sano, lleno de luz y de excelentes propuestas”.</w:t>
      </w:r>
    </w:p>
    <w:p w:rsidRPr="006E4F0C" w:rsidR="006C0738" w:rsidP="006C0738" w:rsidRDefault="006C0738" w14:paraId="74E49FC3" w14:textId="77777777">
      <w:pPr>
        <w:jc w:val="both"/>
        <w:rPr>
          <w:rFonts w:ascii="Verdana" w:hAnsi="Verdana"/>
          <w:sz w:val="20"/>
          <w:szCs w:val="20"/>
        </w:rPr>
      </w:pPr>
      <w:r w:rsidRPr="006E4F0C">
        <w:rPr>
          <w:rFonts w:ascii="Verdana" w:hAnsi="Verdana"/>
          <w:sz w:val="20"/>
          <w:szCs w:val="20"/>
        </w:rPr>
        <w:t>Durante el encuentro, se contó con la participación de</w:t>
      </w:r>
      <w:r w:rsidRPr="00CE312F">
        <w:rPr>
          <w:rFonts w:ascii="Verdana" w:hAnsi="Verdana"/>
          <w:sz w:val="20"/>
          <w:szCs w:val="20"/>
        </w:rPr>
        <w:t xml:space="preserve">l embajador del Reino de España, José María </w:t>
      </w:r>
      <w:proofErr w:type="spellStart"/>
      <w:r w:rsidRPr="00CE312F">
        <w:rPr>
          <w:rFonts w:ascii="Verdana" w:hAnsi="Verdana"/>
          <w:sz w:val="20"/>
          <w:szCs w:val="20"/>
        </w:rPr>
        <w:t>Laviña</w:t>
      </w:r>
      <w:proofErr w:type="spellEnd"/>
      <w:r w:rsidRPr="00CE312F">
        <w:rPr>
          <w:rFonts w:ascii="Verdana" w:hAnsi="Verdana"/>
          <w:sz w:val="20"/>
          <w:szCs w:val="20"/>
        </w:rPr>
        <w:t xml:space="preserve"> y el embajador de la Unión Europea, Thomas </w:t>
      </w:r>
      <w:proofErr w:type="spellStart"/>
      <w:r w:rsidRPr="00CE312F">
        <w:rPr>
          <w:rFonts w:ascii="Verdana" w:hAnsi="Verdana"/>
          <w:sz w:val="20"/>
          <w:szCs w:val="20"/>
        </w:rPr>
        <w:t>Peyker</w:t>
      </w:r>
      <w:proofErr w:type="spellEnd"/>
      <w:r w:rsidRPr="00CE312F">
        <w:rPr>
          <w:rFonts w:ascii="Verdana" w:hAnsi="Verdana"/>
          <w:sz w:val="20"/>
          <w:szCs w:val="20"/>
        </w:rPr>
        <w:t xml:space="preserve">, acompañados de personeros del proyecto RUK´U´ YA, el alcalde municipal, Sr. Flavio </w:t>
      </w:r>
      <w:proofErr w:type="spellStart"/>
      <w:r w:rsidRPr="00CE312F">
        <w:rPr>
          <w:rFonts w:ascii="Verdana" w:hAnsi="Verdana"/>
          <w:sz w:val="20"/>
          <w:szCs w:val="20"/>
        </w:rPr>
        <w:t>Yojcom</w:t>
      </w:r>
      <w:proofErr w:type="spellEnd"/>
      <w:r w:rsidRPr="00CE312F">
        <w:rPr>
          <w:rFonts w:ascii="Verdana" w:hAnsi="Verdana"/>
          <w:sz w:val="20"/>
          <w:szCs w:val="20"/>
        </w:rPr>
        <w:t xml:space="preserve"> y el </w:t>
      </w:r>
      <w:proofErr w:type="gramStart"/>
      <w:r w:rsidRPr="00CE312F">
        <w:rPr>
          <w:rFonts w:ascii="Verdana" w:hAnsi="Verdana"/>
          <w:sz w:val="20"/>
          <w:szCs w:val="20"/>
        </w:rPr>
        <w:t>Director</w:t>
      </w:r>
      <w:proofErr w:type="gramEnd"/>
      <w:r w:rsidRPr="00CE312F">
        <w:rPr>
          <w:rFonts w:ascii="Verdana" w:hAnsi="Verdana"/>
          <w:sz w:val="20"/>
          <w:szCs w:val="20"/>
        </w:rPr>
        <w:t xml:space="preserve"> y Subdirectora de AMSCLAE</w:t>
      </w:r>
      <w:r>
        <w:rPr>
          <w:rFonts w:ascii="Verdana" w:hAnsi="Verdana"/>
          <w:sz w:val="20"/>
          <w:szCs w:val="20"/>
        </w:rPr>
        <w:t>.</w:t>
      </w:r>
    </w:p>
    <w:p w:rsidR="006C0738" w:rsidP="006C0738" w:rsidRDefault="006C0738" w14:paraId="3C99204A" w14:textId="77777777">
      <w:pPr>
        <w:pStyle w:val="Sinespaciado"/>
        <w:ind w:left="-716" w:right="-660"/>
        <w:jc w:val="both"/>
        <w:rPr>
          <w:rFonts w:ascii="Verdana" w:hAnsi="Verdana" w:cs="Arial"/>
          <w:sz w:val="20"/>
          <w:szCs w:val="20"/>
        </w:rPr>
      </w:pPr>
    </w:p>
    <w:p w:rsidRPr="00AC18C4" w:rsidR="00710D48" w:rsidP="006C0738" w:rsidRDefault="003C26F0" w14:paraId="29F397B9" w14:textId="74D5D5C8">
      <w:pPr>
        <w:pStyle w:val="Sinespaciado"/>
        <w:numPr>
          <w:ilvl w:val="0"/>
          <w:numId w:val="33"/>
        </w:numPr>
        <w:ind w:left="-284" w:right="-660"/>
        <w:jc w:val="both"/>
        <w:rPr>
          <w:rFonts w:ascii="Verdana" w:hAnsi="Verdana" w:cs="Arial"/>
          <w:b/>
          <w:bCs/>
          <w:sz w:val="20"/>
          <w:szCs w:val="20"/>
          <w:u w:val="single"/>
        </w:rPr>
      </w:pPr>
      <w:r w:rsidRPr="00AC18C4">
        <w:rPr>
          <w:rFonts w:ascii="Verdana" w:hAnsi="Verdana" w:cs="Arial"/>
          <w:b/>
          <w:bCs/>
          <w:sz w:val="20"/>
          <w:szCs w:val="20"/>
          <w:u w:val="single"/>
        </w:rPr>
        <w:t>EJECUCIÓN DE</w:t>
      </w:r>
      <w:r w:rsidRPr="00AC18C4" w:rsidR="00576043">
        <w:rPr>
          <w:rFonts w:ascii="Verdana" w:hAnsi="Verdana" w:cs="Arial"/>
          <w:b/>
          <w:bCs/>
          <w:sz w:val="20"/>
          <w:szCs w:val="20"/>
          <w:u w:val="single"/>
        </w:rPr>
        <w:t xml:space="preserve"> ACCIONES DENTRO DEL MANDATO DE LA AMSCLAE</w:t>
      </w:r>
      <w:r w:rsidRPr="00AC18C4" w:rsidR="00604F30">
        <w:rPr>
          <w:rFonts w:ascii="Verdana" w:hAnsi="Verdana" w:cs="Arial"/>
          <w:b/>
          <w:bCs/>
          <w:sz w:val="20"/>
          <w:szCs w:val="20"/>
          <w:u w:val="single"/>
        </w:rPr>
        <w:t xml:space="preserve"> “MANEJO INTEGRADO DE CUENCA”.</w:t>
      </w:r>
    </w:p>
    <w:p w:rsidR="00710D48" w:rsidP="006375BF" w:rsidRDefault="00710D48" w14:paraId="6BA033E2" w14:textId="174F9C46">
      <w:pPr>
        <w:pStyle w:val="Sinespaciado"/>
        <w:ind w:left="-644" w:right="-660"/>
        <w:rPr>
          <w:rFonts w:ascii="Verdana" w:hAnsi="Verdana" w:cs="Arial"/>
          <w:b/>
          <w:bCs/>
          <w:sz w:val="20"/>
          <w:szCs w:val="20"/>
          <w:u w:val="single"/>
        </w:rPr>
      </w:pPr>
    </w:p>
    <w:p w:rsidRPr="008B66AA" w:rsidR="005F67D2" w:rsidP="000D10FB" w:rsidRDefault="006375BF" w14:paraId="1CBD1174" w14:textId="41D842C4">
      <w:pPr>
        <w:pStyle w:val="Sinespaciado"/>
        <w:ind w:right="-660"/>
        <w:rPr>
          <w:rFonts w:ascii="Verdana" w:hAnsi="Verdana" w:cs="Arial"/>
          <w:b/>
          <w:bCs/>
          <w:sz w:val="20"/>
          <w:szCs w:val="20"/>
        </w:rPr>
      </w:pPr>
      <w:r w:rsidRPr="008B66AA">
        <w:rPr>
          <w:rFonts w:ascii="Verdana" w:hAnsi="Verdana" w:cs="Arial"/>
          <w:b/>
          <w:bCs/>
          <w:sz w:val="20"/>
          <w:szCs w:val="20"/>
        </w:rPr>
        <w:t>COMPONENTE DE SANEAMIENTO AMBIENTA</w:t>
      </w:r>
      <w:r w:rsidRPr="008B66AA" w:rsidR="00264CBD">
        <w:rPr>
          <w:rFonts w:ascii="Verdana" w:hAnsi="Verdana" w:cs="Arial"/>
          <w:b/>
          <w:bCs/>
          <w:sz w:val="20"/>
          <w:szCs w:val="20"/>
        </w:rPr>
        <w:t>L</w:t>
      </w:r>
    </w:p>
    <w:p w:rsidRPr="009F5EC2" w:rsidR="009F5EC2" w:rsidP="004B3FEA" w:rsidRDefault="009F5EC2" w14:paraId="59321D25" w14:textId="07696267">
      <w:pPr>
        <w:pStyle w:val="NormalWeb"/>
        <w:jc w:val="both"/>
        <w:rPr>
          <w:rFonts w:ascii="Verdana" w:hAnsi="Verdana"/>
          <w:b/>
          <w:bCs/>
          <w:color w:val="000000"/>
          <w:sz w:val="20"/>
          <w:szCs w:val="20"/>
        </w:rPr>
      </w:pPr>
      <w:r w:rsidRPr="009F5EC2">
        <w:rPr>
          <w:b/>
          <w:bCs/>
          <w:noProof/>
        </w:rPr>
        <w:drawing>
          <wp:anchor distT="0" distB="0" distL="114300" distR="114300" simplePos="0" relativeHeight="251728896" behindDoc="0" locked="0" layoutInCell="1" allowOverlap="1" wp14:anchorId="45CA4EC9" wp14:editId="51293B39">
            <wp:simplePos x="0" y="0"/>
            <wp:positionH relativeFrom="column">
              <wp:posOffset>3724275</wp:posOffset>
            </wp:positionH>
            <wp:positionV relativeFrom="paragraph">
              <wp:posOffset>498475</wp:posOffset>
            </wp:positionV>
            <wp:extent cx="1988953" cy="111442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8953" cy="1114425"/>
                    </a:xfrm>
                    <a:prstGeom prst="rect">
                      <a:avLst/>
                    </a:prstGeom>
                  </pic:spPr>
                </pic:pic>
              </a:graphicData>
            </a:graphic>
            <wp14:sizeRelH relativeFrom="page">
              <wp14:pctWidth>0</wp14:pctWidth>
            </wp14:sizeRelH>
            <wp14:sizeRelV relativeFrom="page">
              <wp14:pctHeight>0</wp14:pctHeight>
            </wp14:sizeRelV>
          </wp:anchor>
        </w:drawing>
      </w:r>
      <w:r w:rsidRPr="009F5EC2" w:rsidR="009F5EC2">
        <w:rPr>
          <w:rFonts w:ascii="Verdana" w:hAnsi="Verdana"/>
          <w:b w:val="1"/>
          <w:bCs w:val="1"/>
          <w:color w:val="000000"/>
          <w:sz w:val="20"/>
          <w:szCs w:val="20"/>
        </w:rPr>
        <w:t xml:space="preserve">Cierre técnico de vertedero </w:t>
      </w:r>
    </w:p>
    <w:p w:rsidR="001004D2" w:rsidP="004B3FEA" w:rsidRDefault="004B3FEA" w14:paraId="7C16CB51" w14:textId="4D1D0F29">
      <w:pPr>
        <w:pStyle w:val="NormalWeb"/>
        <w:jc w:val="both"/>
        <w:rPr>
          <w:rFonts w:ascii="Verdana" w:hAnsi="Verdana"/>
          <w:color w:val="000000"/>
          <w:sz w:val="20"/>
          <w:szCs w:val="20"/>
        </w:rPr>
      </w:pPr>
      <w:r w:rsidRPr="004B3FEA">
        <w:rPr>
          <w:rFonts w:ascii="Verdana" w:hAnsi="Verdana"/>
          <w:color w:val="000000"/>
          <w:sz w:val="20"/>
          <w:szCs w:val="20"/>
        </w:rPr>
        <w:t>Como parte de los avances del proyecto “Recuperación del terreno y cierre de vertederos municipales”, se presentó la primera fase del cierre técnico</w:t>
      </w:r>
      <w:r w:rsidRPr="001004D2" w:rsidR="001004D2">
        <w:rPr>
          <w:rFonts w:ascii="Verdana" w:hAnsi="Verdana"/>
          <w:color w:val="000000"/>
          <w:sz w:val="20"/>
          <w:szCs w:val="20"/>
        </w:rPr>
        <w:t xml:space="preserve"> </w:t>
      </w:r>
      <w:r w:rsidRPr="00FF0F49" w:rsidR="001004D2">
        <w:rPr>
          <w:rFonts w:ascii="Verdana" w:hAnsi="Verdana"/>
          <w:color w:val="000000"/>
          <w:sz w:val="20"/>
          <w:szCs w:val="20"/>
        </w:rPr>
        <w:t>del basurero (botadero) a cielo abierto</w:t>
      </w:r>
      <w:r w:rsidRPr="001004D2" w:rsidR="001004D2">
        <w:rPr>
          <w:rFonts w:ascii="Verdana" w:hAnsi="Verdana"/>
          <w:color w:val="000000"/>
          <w:sz w:val="20"/>
          <w:szCs w:val="20"/>
        </w:rPr>
        <w:t xml:space="preserve"> </w:t>
      </w:r>
      <w:r w:rsidRPr="00FF0F49" w:rsidR="001004D2">
        <w:rPr>
          <w:rFonts w:ascii="Verdana" w:hAnsi="Verdana"/>
          <w:color w:val="000000"/>
          <w:sz w:val="20"/>
          <w:szCs w:val="20"/>
        </w:rPr>
        <w:t xml:space="preserve">ubicado en el sector </w:t>
      </w:r>
      <w:proofErr w:type="spellStart"/>
      <w:r w:rsidRPr="00FF0F49" w:rsidR="001004D2">
        <w:rPr>
          <w:rFonts w:ascii="Verdana" w:hAnsi="Verdana"/>
          <w:color w:val="000000"/>
          <w:sz w:val="20"/>
          <w:szCs w:val="20"/>
        </w:rPr>
        <w:t>chupoj</w:t>
      </w:r>
      <w:proofErr w:type="spellEnd"/>
      <w:r w:rsidRPr="00FF0F49" w:rsidR="001004D2">
        <w:rPr>
          <w:rFonts w:ascii="Verdana" w:hAnsi="Verdana"/>
          <w:color w:val="000000"/>
          <w:sz w:val="20"/>
          <w:szCs w:val="20"/>
        </w:rPr>
        <w:t xml:space="preserve"> a orillas del Lago de Atitlán en la cabecera municipal </w:t>
      </w:r>
      <w:r w:rsidRPr="004B3FEA">
        <w:rPr>
          <w:rFonts w:ascii="Verdana" w:hAnsi="Verdana"/>
          <w:color w:val="000000"/>
          <w:sz w:val="20"/>
          <w:szCs w:val="20"/>
        </w:rPr>
        <w:t>de San Antonio Palopó, uno de los basureros que ha impactado negativamente al ecosistema del lago Atitlán, por más de 20 años.</w:t>
      </w:r>
    </w:p>
    <w:p w:rsidRPr="004B3FEA" w:rsidR="004B3FEA" w:rsidP="004B3FEA" w:rsidRDefault="004B3FEA" w14:paraId="20E8AE2C" w14:textId="59E36882">
      <w:pPr>
        <w:pStyle w:val="NormalWeb"/>
        <w:jc w:val="both"/>
        <w:rPr>
          <w:rFonts w:ascii="Verdana" w:hAnsi="Verdana"/>
          <w:color w:val="000000"/>
          <w:sz w:val="20"/>
          <w:szCs w:val="20"/>
        </w:rPr>
      </w:pPr>
      <w:r w:rsidRPr="004B3FEA">
        <w:rPr>
          <w:rFonts w:ascii="Verdana" w:hAnsi="Verdana"/>
          <w:color w:val="000000"/>
          <w:sz w:val="20"/>
          <w:szCs w:val="20"/>
        </w:rPr>
        <w:t xml:space="preserve">Durante el evento, se presentaron las acciones que se han realizado en coordinación con la municipalidad, resaltando la extracción de 2300 metros cúbicos de residuos y </w:t>
      </w:r>
      <w:r w:rsidRPr="004B3FEA" w:rsidR="001004D2">
        <w:rPr>
          <w:rFonts w:ascii="Verdana" w:hAnsi="Verdana"/>
          <w:color w:val="000000"/>
          <w:sz w:val="20"/>
          <w:szCs w:val="20"/>
        </w:rPr>
        <w:t>desechos, los</w:t>
      </w:r>
      <w:r w:rsidRPr="004B3FEA">
        <w:rPr>
          <w:rFonts w:ascii="Verdana" w:hAnsi="Verdana"/>
          <w:color w:val="000000"/>
          <w:sz w:val="20"/>
          <w:szCs w:val="20"/>
        </w:rPr>
        <w:t xml:space="preserve"> cuales fueron tamizados fuera de la Cuenca del lago de Atitlán, asimismo</w:t>
      </w:r>
      <w:r w:rsidR="001004D2">
        <w:rPr>
          <w:rFonts w:ascii="Verdana" w:hAnsi="Verdana"/>
          <w:color w:val="000000"/>
          <w:sz w:val="20"/>
          <w:szCs w:val="20"/>
        </w:rPr>
        <w:t xml:space="preserve"> la implementación de</w:t>
      </w:r>
      <w:r w:rsidRPr="004B3FEA">
        <w:rPr>
          <w:rFonts w:ascii="Verdana" w:hAnsi="Verdana"/>
          <w:color w:val="000000"/>
          <w:sz w:val="20"/>
          <w:szCs w:val="20"/>
        </w:rPr>
        <w:t xml:space="preserve"> los proyectos de educación ambiental con la población y las acciones técnicas que se han implementado a lo largo del </w:t>
      </w:r>
      <w:r w:rsidR="00843E6B">
        <w:rPr>
          <w:rFonts w:ascii="Verdana" w:hAnsi="Verdana"/>
          <w:color w:val="000000"/>
          <w:sz w:val="20"/>
          <w:szCs w:val="20"/>
        </w:rPr>
        <w:t>proceso</w:t>
      </w:r>
      <w:r w:rsidRPr="004B3FEA">
        <w:rPr>
          <w:rFonts w:ascii="Verdana" w:hAnsi="Verdana"/>
          <w:color w:val="000000"/>
          <w:sz w:val="20"/>
          <w:szCs w:val="20"/>
        </w:rPr>
        <w:t xml:space="preserve">. </w:t>
      </w:r>
    </w:p>
    <w:p w:rsidR="00FF0F49" w:rsidP="005B346F" w:rsidRDefault="004B3FEA" w14:paraId="280B5EB4" w14:textId="718CF9E7">
      <w:pPr>
        <w:pStyle w:val="NormalWeb"/>
        <w:jc w:val="both"/>
        <w:rPr>
          <w:rFonts w:ascii="Verdana" w:hAnsi="Verdana"/>
          <w:b/>
          <w:bCs/>
          <w:color w:val="000000"/>
          <w:sz w:val="20"/>
          <w:szCs w:val="20"/>
        </w:rPr>
      </w:pPr>
      <w:r w:rsidRPr="004B3FEA">
        <w:rPr>
          <w:rFonts w:ascii="Verdana" w:hAnsi="Verdana"/>
          <w:color w:val="000000"/>
          <w:sz w:val="20"/>
          <w:szCs w:val="20"/>
        </w:rPr>
        <w:t>AMSCLAE continuará apoyando</w:t>
      </w:r>
      <w:r w:rsidR="00843E6B">
        <w:rPr>
          <w:rFonts w:ascii="Verdana" w:hAnsi="Verdana"/>
          <w:color w:val="000000"/>
          <w:sz w:val="20"/>
          <w:szCs w:val="20"/>
        </w:rPr>
        <w:t xml:space="preserve"> estas acciones en coordinación con el </w:t>
      </w:r>
      <w:r w:rsidRPr="004B3FEA">
        <w:rPr>
          <w:rFonts w:ascii="Verdana" w:hAnsi="Verdana"/>
          <w:color w:val="000000"/>
          <w:sz w:val="20"/>
          <w:szCs w:val="20"/>
        </w:rPr>
        <w:t>consejo municipal, las instituciones rectoras del medio ambiente y la sociedad civil vecina de la cuenca, para el rescate del lago de Atitlán.</w:t>
      </w:r>
    </w:p>
    <w:p w:rsidR="008B66AA" w:rsidP="006C0738" w:rsidRDefault="00FF0F49" w14:paraId="58042180" w14:textId="77777777">
      <w:pPr>
        <w:pStyle w:val="NormalWeb"/>
        <w:jc w:val="both"/>
        <w:rPr>
          <w:rFonts w:ascii="Verdana" w:hAnsi="Verdana"/>
          <w:b/>
          <w:bCs/>
          <w:color w:val="000000"/>
          <w:sz w:val="20"/>
          <w:szCs w:val="20"/>
        </w:rPr>
      </w:pPr>
      <w:r w:rsidRPr="00FF0F49">
        <w:rPr>
          <w:rFonts w:ascii="Verdana" w:hAnsi="Verdana"/>
          <w:b/>
          <w:bCs/>
          <w:color w:val="000000"/>
          <w:sz w:val="20"/>
          <w:szCs w:val="20"/>
        </w:rPr>
        <w:t xml:space="preserve">AMSCLAE entrega Estudio Final y Estrategia de Inversión para activar la Planta de Tratamiento de Aguas Residuales </w:t>
      </w:r>
      <w:proofErr w:type="spellStart"/>
      <w:r w:rsidRPr="00FF0F49">
        <w:rPr>
          <w:rFonts w:ascii="Verdana" w:hAnsi="Verdana"/>
          <w:b/>
          <w:bCs/>
          <w:color w:val="000000"/>
          <w:sz w:val="20"/>
          <w:szCs w:val="20"/>
        </w:rPr>
        <w:t>Tzanjuyu</w:t>
      </w:r>
      <w:proofErr w:type="spellEnd"/>
    </w:p>
    <w:p w:rsidRPr="006C0738" w:rsidR="006C0738" w:rsidP="006C0738" w:rsidRDefault="006C0738" w14:paraId="5CF0BEB3" w14:textId="2FBF77A9">
      <w:pPr>
        <w:pStyle w:val="NormalWeb"/>
        <w:jc w:val="both"/>
        <w:rPr>
          <w:rFonts w:ascii="Verdana" w:hAnsi="Verdana"/>
          <w:color w:val="000000"/>
          <w:sz w:val="20"/>
          <w:szCs w:val="20"/>
        </w:rPr>
      </w:pPr>
      <w:r w:rsidRPr="006C0738">
        <w:rPr>
          <w:rFonts w:ascii="Verdana" w:hAnsi="Verdana"/>
          <w:color w:val="000000"/>
          <w:sz w:val="20"/>
          <w:szCs w:val="20"/>
        </w:rPr>
        <w:t xml:space="preserve">En cumplimiento a las normativas para conservar, preservar y resguardar el ecosistema del Lago de Atitlán, en atención a la urgencia de tomar acciones coordinadas con la Municipalidad de Panajachel, La Autoridad para el Manejo Sustentable de la Cuenca del Lago de Atitlán y su Entorno -AMSCLAE-, entregó a la Municipalidad, el Estudio final y </w:t>
      </w:r>
      <w:r w:rsidRPr="006C0738">
        <w:rPr>
          <w:rFonts w:ascii="Verdana" w:hAnsi="Verdana"/>
          <w:color w:val="000000"/>
          <w:sz w:val="20"/>
          <w:szCs w:val="20"/>
        </w:rPr>
        <w:lastRenderedPageBreak/>
        <w:t>Estrategia de Inversión para activar y completar la Planta de Tratamiento de Aguas Residuales Tzanjuyú a la Municipalidad.</w:t>
      </w:r>
    </w:p>
    <w:p w:rsidRPr="000B7D95" w:rsidR="000B7D95" w:rsidP="000B7D95" w:rsidRDefault="008B66AA" w14:paraId="4D050A24" w14:textId="5F5E4E75">
      <w:pPr>
        <w:pStyle w:val="NormalWeb"/>
        <w:jc w:val="both"/>
        <w:rPr>
          <w:rFonts w:ascii="Verdana" w:hAnsi="Verdana"/>
          <w:color w:val="000000"/>
          <w:sz w:val="20"/>
          <w:szCs w:val="20"/>
        </w:rPr>
      </w:pPr>
      <w:r>
        <w:rPr>
          <w:noProof/>
        </w:rPr>
        <w:drawing>
          <wp:anchor distT="0" distB="0" distL="114300" distR="114300" simplePos="0" relativeHeight="251729920" behindDoc="0" locked="0" layoutInCell="1" allowOverlap="1" wp14:anchorId="4856BDDF" wp14:editId="49972D7B">
            <wp:simplePos x="0" y="0"/>
            <wp:positionH relativeFrom="margin">
              <wp:align>right</wp:align>
            </wp:positionH>
            <wp:positionV relativeFrom="paragraph">
              <wp:posOffset>6350</wp:posOffset>
            </wp:positionV>
            <wp:extent cx="1971675" cy="1555115"/>
            <wp:effectExtent l="0" t="0" r="9525"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229" t="757" r="8273" b="1"/>
                    <a:stretch/>
                  </pic:blipFill>
                  <pic:spPr bwMode="auto">
                    <a:xfrm>
                      <a:off x="0" y="0"/>
                      <a:ext cx="1971675"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7D95" w:rsidR="000B7D95">
        <w:rPr>
          <w:rFonts w:ascii="Verdana" w:hAnsi="Verdana"/>
          <w:color w:val="000000"/>
          <w:sz w:val="20"/>
          <w:szCs w:val="20"/>
        </w:rPr>
        <w:t xml:space="preserve">Dicha colaboración fue realizada en atención a la urgencia de tomar acciones para el saneamiento del lago de Atitlán.  Se reiteró que la responsabilidad en la prestación de los servicios públicos es municipal y está regulada en el código municipal y código de salud, asimismo la responsabilidad en el cumplimiento del acuerdo gubernativo 12-2011. </w:t>
      </w:r>
    </w:p>
    <w:p w:rsidR="000B7D95" w:rsidP="000B7D95" w:rsidRDefault="000B7D95" w14:paraId="00619FBE" w14:textId="6FDF4E37">
      <w:pPr>
        <w:pStyle w:val="NormalWeb"/>
        <w:jc w:val="both"/>
        <w:rPr>
          <w:rFonts w:ascii="Verdana" w:hAnsi="Verdana"/>
          <w:color w:val="000000"/>
          <w:sz w:val="20"/>
          <w:szCs w:val="20"/>
        </w:rPr>
      </w:pPr>
      <w:r>
        <w:rPr>
          <w:rFonts w:ascii="Verdana" w:hAnsi="Verdana"/>
          <w:color w:val="000000"/>
          <w:sz w:val="20"/>
          <w:szCs w:val="20"/>
        </w:rPr>
        <w:t>En ese sentido e</w:t>
      </w:r>
      <w:r w:rsidRPr="000B7D95">
        <w:rPr>
          <w:rFonts w:ascii="Verdana" w:hAnsi="Verdana"/>
          <w:color w:val="000000"/>
          <w:sz w:val="20"/>
          <w:szCs w:val="20"/>
        </w:rPr>
        <w:t>l director ejecutivo de la AMSCLAE</w:t>
      </w:r>
      <w:r>
        <w:rPr>
          <w:rFonts w:ascii="Verdana" w:hAnsi="Verdana"/>
          <w:color w:val="000000"/>
          <w:sz w:val="20"/>
          <w:szCs w:val="20"/>
        </w:rPr>
        <w:t>,</w:t>
      </w:r>
      <w:r w:rsidRPr="000B7D95">
        <w:rPr>
          <w:rFonts w:ascii="Verdana" w:hAnsi="Verdana"/>
          <w:color w:val="000000"/>
          <w:sz w:val="20"/>
          <w:szCs w:val="20"/>
        </w:rPr>
        <w:t xml:space="preserve"> manifestó a la municipalidad de Panajachel que para que el proyecto sea funcional y sostenible, se deben garantizar las siguientes condiciones: 1. Mantener y actualizar un catastro preciso de las viviendas, negocios y establecimientos que tributan con agua residual. 2. Implementación  dispositivos para control de consumo de agua (medidores) para mitigar generación excesiva de aguas residuales, 3. Promover la construcción de alcantarillados separativos de aguas residuales y pluviales en viviendas, comercios y establecimientos, y calles, con lo cual dar tratamiento exclusivamente a las aguas residuales, 4. Que los establecimientos de tipo comercial y de servicios de salud en el municipio cuenten con un sistema de tratamiento previo a la descarga de aguas residuales a la red de alcantarillado, y cumplir con el Acuerdo ministerial 264-2019, reforma (am 204-2019) del MARN, 5. Iniciar el proceso de contratación de personal permanente para la operación del sistema de tratamiento a implementar, 6. Establecer una programación de inversiones de fondos con el objetivo de disponer de los recursos necesarios para la construcción total del sistema de tratamiento, 7. Garantizar la sostenibilidad operativa y económica del sistema a implementar, 8. Elaborar un plan municipal de aguas residuales y cumplir con lo estipulado en el acuerdo gubernativo 12-2011.  </w:t>
      </w:r>
    </w:p>
    <w:p w:rsidR="000B7D95" w:rsidP="000B7D95" w:rsidRDefault="000B7D95" w14:paraId="1B10983D" w14:textId="77777777">
      <w:pPr>
        <w:pStyle w:val="NormalWeb"/>
        <w:jc w:val="both"/>
        <w:rPr>
          <w:rFonts w:ascii="Verdana" w:hAnsi="Verdana"/>
          <w:b/>
          <w:bCs/>
          <w:color w:val="000000"/>
          <w:sz w:val="20"/>
          <w:szCs w:val="20"/>
        </w:rPr>
      </w:pPr>
      <w:r w:rsidRPr="000B7D95">
        <w:rPr>
          <w:rFonts w:ascii="Verdana" w:hAnsi="Verdana"/>
          <w:color w:val="000000"/>
          <w:sz w:val="20"/>
          <w:szCs w:val="20"/>
        </w:rPr>
        <w:t>La AMSCLAE en coordinación interinstitucional verificará y apoyará para el cumplimiento de este proceso y solicitó seguir priorizando inversión de fondos en agua y saneamiento, como base para la salud de la población del municipio.</w:t>
      </w:r>
      <w:r w:rsidRPr="000B7D95">
        <w:rPr>
          <w:rFonts w:ascii="Verdana" w:hAnsi="Verdana"/>
          <w:b/>
          <w:bCs/>
          <w:color w:val="000000"/>
          <w:sz w:val="20"/>
          <w:szCs w:val="20"/>
        </w:rPr>
        <w:t xml:space="preserve"> </w:t>
      </w:r>
    </w:p>
    <w:p w:rsidRPr="00CE312F" w:rsidR="005B346F" w:rsidP="000B7D95" w:rsidRDefault="005B346F" w14:paraId="312A6EFC" w14:textId="0489B5B3">
      <w:pPr>
        <w:pStyle w:val="NormalWeb"/>
        <w:jc w:val="both"/>
        <w:rPr>
          <w:rFonts w:ascii="Verdana" w:hAnsi="Verdana"/>
          <w:b/>
          <w:bCs/>
          <w:color w:val="000000"/>
          <w:sz w:val="20"/>
          <w:szCs w:val="20"/>
        </w:rPr>
      </w:pPr>
      <w:r w:rsidRPr="00CE312F">
        <w:rPr>
          <w:rFonts w:ascii="Verdana" w:hAnsi="Verdana"/>
          <w:b/>
          <w:bCs/>
          <w:color w:val="000000"/>
          <w:sz w:val="20"/>
          <w:szCs w:val="20"/>
        </w:rPr>
        <w:t>Campañas de limpieza promueven la protección de la salud en Atitlán</w:t>
      </w:r>
    </w:p>
    <w:p w:rsidRPr="00CE312F" w:rsidR="005B346F" w:rsidP="005B346F" w:rsidRDefault="005B346F" w14:paraId="43F0890C" w14:textId="44F4C0C5">
      <w:pPr>
        <w:pStyle w:val="NormalWeb"/>
        <w:jc w:val="both"/>
        <w:rPr>
          <w:rFonts w:ascii="Verdana" w:hAnsi="Verdana"/>
          <w:color w:val="000000"/>
          <w:sz w:val="20"/>
          <w:szCs w:val="20"/>
        </w:rPr>
      </w:pPr>
      <w:r w:rsidRPr="00CE312F" w:rsidR="005B346F">
        <w:rPr>
          <w:rFonts w:ascii="Verdana" w:hAnsi="Verdana"/>
          <w:color w:val="000000"/>
          <w:sz w:val="20"/>
          <w:szCs w:val="20"/>
        </w:rPr>
        <w:t xml:space="preserve">Como una iniciativa de alianza ciudadana, AMSCLAE y las Municipalidades de la Cuenca del Lago de Atitlán realizaron 9 jornadas limpieza en ríos, callejones y carreteras, con el objetivo de involucrar a la población para que experimente directamente la amenaza por la </w:t>
      </w:r>
      <w:r w:rsidRPr="00E63943" w:rsidR="00E63943">
        <w:rPr>
          <w:rFonts w:ascii="Verdana" w:hAnsi="Verdana"/>
          <w:noProof/>
          <w:color w:val="000000"/>
          <w:sz w:val="20"/>
          <w:szCs w:val="20"/>
        </w:rPr>
        <w:drawing>
          <wp:anchor distT="0" distB="0" distL="114300" distR="114300" simplePos="0" relativeHeight="251710464" behindDoc="0" locked="0" layoutInCell="1" allowOverlap="1" wp14:anchorId="2293FE9B" wp14:editId="2BC1B6A6">
            <wp:simplePos x="0" y="0"/>
            <wp:positionH relativeFrom="column">
              <wp:posOffset>4427855</wp:posOffset>
            </wp:positionH>
            <wp:positionV relativeFrom="paragraph">
              <wp:posOffset>0</wp:posOffset>
            </wp:positionV>
            <wp:extent cx="1331595" cy="885825"/>
            <wp:effectExtent l="0" t="0" r="1905" b="9525"/>
            <wp:wrapSquare wrapText="bothSides"/>
            <wp:docPr id="18" name="Imagen 18" descr="C:\Users\Izquierdo\Desktop\Fotografias para VIcepresidencia\Jornadas de limpieza\5f4b8202-d0d9-4d8f-ae41-3dff278ba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zquierdo\Desktop\Fotografias para VIcepresidencia\Jornadas de limpieza\5f4b8202-d0d9-4d8f-ae41-3dff278ba6e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159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2F" w:rsidR="005B346F">
        <w:rPr>
          <w:rFonts w:ascii="Verdana" w:hAnsi="Verdana"/>
          <w:color w:val="000000"/>
          <w:sz w:val="20"/>
          <w:szCs w:val="20"/>
        </w:rPr>
        <w:t>contaminación y así determinar el rol de responsabilidad de los habitantes locales y de los gobiernos municipales para que apliquen las leyes y reglamentos vigentes.</w:t>
      </w:r>
    </w:p>
    <w:p w:rsidRPr="00CE312F" w:rsidR="005B346F" w:rsidP="005B346F" w:rsidRDefault="005B346F" w14:paraId="7DC6607B" w14:textId="5A610F9D">
      <w:pPr>
        <w:pStyle w:val="NormalWeb"/>
        <w:jc w:val="both"/>
        <w:rPr>
          <w:rFonts w:ascii="Verdana" w:hAnsi="Verdana"/>
          <w:color w:val="000000"/>
          <w:sz w:val="20"/>
          <w:szCs w:val="20"/>
        </w:rPr>
      </w:pPr>
      <w:r w:rsidRPr="00CE312F">
        <w:rPr>
          <w:rFonts w:ascii="Verdana" w:hAnsi="Verdana"/>
          <w:color w:val="000000"/>
          <w:sz w:val="20"/>
          <w:szCs w:val="20"/>
        </w:rPr>
        <w:lastRenderedPageBreak/>
        <w:t>Estas jornadas de limpieza fueron terrestres y subacuáticas desarrolladas en San Juan La Laguna, Panajachel, San Antonio Palopó, San Pedro La Laguna, Santa Cruz La Laguna, San Marcos La Laguna y Santa Catarina Palopó, obteniendo como resultado la recolección de más de 7,000 libras de desechos y la extracción de más de 200 llantas de distintos tamaños del fondo del lago de Atitlán.</w:t>
      </w:r>
    </w:p>
    <w:p w:rsidRPr="00CE312F" w:rsidR="005B346F" w:rsidP="005B346F" w:rsidRDefault="005B346F" w14:paraId="3E7047B1" w14:textId="6E7977C5">
      <w:pPr>
        <w:pStyle w:val="NormalWeb"/>
        <w:jc w:val="both"/>
        <w:rPr>
          <w:rFonts w:ascii="Verdana" w:hAnsi="Verdana"/>
          <w:color w:val="000000"/>
          <w:sz w:val="20"/>
          <w:szCs w:val="20"/>
        </w:rPr>
      </w:pPr>
      <w:r w:rsidRPr="00CE312F">
        <w:rPr>
          <w:rFonts w:ascii="Verdana" w:hAnsi="Verdana"/>
          <w:color w:val="000000"/>
          <w:sz w:val="20"/>
          <w:szCs w:val="20"/>
        </w:rPr>
        <w:t xml:space="preserve">Datos de interés: En estas jornadas participaron más de 200 personas vecinas de Atitlán, 30 técnicos municipales, 25 buzos, etc. Entre los principales desechos recolectados están: bolsas plásticas, llantas, duroport botellas de vidrio, material </w:t>
      </w:r>
      <w:proofErr w:type="spellStart"/>
      <w:r w:rsidRPr="00CE312F">
        <w:rPr>
          <w:rFonts w:ascii="Verdana" w:hAnsi="Verdana"/>
          <w:color w:val="000000"/>
          <w:sz w:val="20"/>
          <w:szCs w:val="20"/>
        </w:rPr>
        <w:t>pet</w:t>
      </w:r>
      <w:proofErr w:type="spellEnd"/>
      <w:r w:rsidRPr="00CE312F">
        <w:rPr>
          <w:rFonts w:ascii="Verdana" w:hAnsi="Verdana"/>
          <w:color w:val="000000"/>
          <w:sz w:val="20"/>
          <w:szCs w:val="20"/>
        </w:rPr>
        <w:t>, cartón, pañales, toallas sanitarias, etc. De los municipios que participaron solamente 3 tienen reglamentos para la gestión y manejo integral de residuos y desechos sólidos.</w:t>
      </w:r>
    </w:p>
    <w:p w:rsidR="00E63943" w:rsidP="00CE312F" w:rsidRDefault="005B346F" w14:paraId="4F29810B" w14:textId="3501ECDB">
      <w:pPr>
        <w:pStyle w:val="NormalWeb"/>
        <w:jc w:val="both"/>
        <w:rPr>
          <w:rFonts w:ascii="Verdana" w:hAnsi="Verdana"/>
          <w:color w:val="000000"/>
          <w:sz w:val="20"/>
          <w:szCs w:val="20"/>
        </w:rPr>
      </w:pPr>
      <w:r w:rsidRPr="00CE312F">
        <w:rPr>
          <w:rFonts w:ascii="Verdana" w:hAnsi="Verdana"/>
          <w:color w:val="000000"/>
          <w:sz w:val="20"/>
          <w:szCs w:val="20"/>
        </w:rPr>
        <w:t>Cabe mencionar que la inadecuada disposición de residuos y desechos sólidos, es uno de los tres problemas más importantes que enfrenta la cuenca de lago de Atitlán junto a la de aguas residuales y el inadecuado manejo de suelos.</w:t>
      </w:r>
    </w:p>
    <w:p w:rsidRPr="0029185C" w:rsidR="0029185C" w:rsidP="0029185C" w:rsidRDefault="0029185C" w14:paraId="6EB53A8C" w14:textId="77777777">
      <w:pPr>
        <w:jc w:val="both"/>
        <w:rPr>
          <w:rFonts w:ascii="Verdana" w:hAnsi="Verdana" w:cs="Segoe UI Historic"/>
          <w:b/>
          <w:color w:val="050505"/>
          <w:sz w:val="20"/>
          <w:szCs w:val="20"/>
          <w:shd w:val="clear" w:color="auto" w:fill="FFFFFF"/>
        </w:rPr>
      </w:pPr>
      <w:r w:rsidRPr="0029185C">
        <w:rPr>
          <w:rFonts w:ascii="Verdana" w:hAnsi="Verdana" w:cs="Segoe UI Historic"/>
          <w:b/>
          <w:color w:val="050505"/>
          <w:sz w:val="20"/>
          <w:szCs w:val="20"/>
          <w:shd w:val="clear" w:color="auto" w:fill="FFFFFF"/>
        </w:rPr>
        <w:t>Técnicos de AMSCLAE realizan jornada de identificador de generadores de aceite</w:t>
      </w:r>
    </w:p>
    <w:p w:rsidR="0029185C" w:rsidP="0029185C" w:rsidRDefault="0029185C" w14:paraId="748D6053" w14:textId="2644A032">
      <w:pPr>
        <w:jc w:val="both"/>
        <w:rPr>
          <w:rFonts w:ascii="Verdana" w:hAnsi="Verdana" w:cs="Segoe UI Historic"/>
          <w:color w:val="050505"/>
          <w:sz w:val="20"/>
          <w:szCs w:val="20"/>
          <w:shd w:val="clear" w:color="auto" w:fill="FFFFFF"/>
        </w:rPr>
      </w:pPr>
      <w:r w:rsidRPr="0029185C">
        <w:rPr>
          <w:rFonts w:ascii="Verdana" w:hAnsi="Verdana"/>
          <w:noProof/>
          <w:sz w:val="20"/>
          <w:szCs w:val="20"/>
          <w:lang w:eastAsia="es-ES"/>
        </w:rPr>
        <w:drawing>
          <wp:anchor distT="0" distB="0" distL="114300" distR="114300" simplePos="0" relativeHeight="251717632" behindDoc="0" locked="0" layoutInCell="1" allowOverlap="1" wp14:anchorId="65C39A3E" wp14:editId="346D1CD4">
            <wp:simplePos x="0" y="0"/>
            <wp:positionH relativeFrom="margin">
              <wp:align>right</wp:align>
            </wp:positionH>
            <wp:positionV relativeFrom="paragraph">
              <wp:posOffset>86360</wp:posOffset>
            </wp:positionV>
            <wp:extent cx="1896745" cy="894715"/>
            <wp:effectExtent l="0" t="0" r="8255" b="63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8936" t="30119" r="6097" b="40384"/>
                    <a:stretch/>
                  </pic:blipFill>
                  <pic:spPr bwMode="auto">
                    <a:xfrm>
                      <a:off x="0" y="0"/>
                      <a:ext cx="1896745"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185C" w:rsidR="0029185C">
        <w:rPr>
          <w:rFonts w:ascii="Verdana" w:hAnsi="Verdana" w:cs="Segoe UI Historic"/>
          <w:color w:val="050505"/>
          <w:sz w:val="20"/>
          <w:szCs w:val="20"/>
          <w:shd w:val="clear" w:color="auto" w:fill="FFFFFF"/>
        </w:rPr>
        <w:t>Técnicos del Departamento de Saneamiento Ambiental de AMSCLAE en coordinación con la Municipalidad de San Juan la Laguna y la Asociación de Amigos del Lago de Atitlán, realizaron una jornada de identificación de generadores de aceite en dicho municipio, con el objetivo de implementar acciones para propiciar el manejo responsable de desechos especiales, como lo es el aceite vegetal usado y así evitar que este producto genere contaminación por el manejo inadecuado.</w:t>
      </w:r>
    </w:p>
    <w:p w:rsidRPr="00426F06" w:rsidR="00C459EE" w:rsidP="00C459EE" w:rsidRDefault="00C459EE" w14:paraId="5BEB5FBA" w14:textId="77777777">
      <w:pPr>
        <w:jc w:val="both"/>
        <w:rPr>
          <w:rFonts w:ascii="Verdana" w:hAnsi="Verdana"/>
          <w:b/>
          <w:bCs/>
          <w:sz w:val="20"/>
          <w:szCs w:val="20"/>
        </w:rPr>
      </w:pPr>
      <w:r w:rsidRPr="00426F06">
        <w:rPr>
          <w:rFonts w:ascii="Verdana" w:hAnsi="Verdana"/>
          <w:b/>
          <w:bCs/>
          <w:sz w:val="20"/>
          <w:szCs w:val="20"/>
        </w:rPr>
        <w:t>AMSCLAE continúa inspecciones de verificación de cumplimiento legal</w:t>
      </w:r>
    </w:p>
    <w:p w:rsidRPr="00426F06" w:rsidR="00C459EE" w:rsidP="00C459EE" w:rsidRDefault="00C459EE" w14:paraId="6FC4501D" w14:textId="77777777">
      <w:pPr>
        <w:jc w:val="both"/>
        <w:rPr>
          <w:rFonts w:ascii="Verdana" w:hAnsi="Verdana"/>
          <w:sz w:val="20"/>
          <w:szCs w:val="20"/>
        </w:rPr>
      </w:pPr>
      <w:r w:rsidRPr="00426F06">
        <w:rPr>
          <w:rFonts w:ascii="Verdana" w:hAnsi="Verdana"/>
          <w:sz w:val="20"/>
          <w:szCs w:val="20"/>
        </w:rPr>
        <w:t>En atención a denuncias y delitos reportados, técnicos de la AMSCLAE, acudieron a una inspección ocular junto a la Fiscalía de Delitos Contra el Ambiente del Ministerio Público, para cumplir con el procedimiento de verificación de infracciones en restaurantes de orillas del lago de Atitlán, con el objetivo de verificar las repercusiones ambientales y legales en cumplimiento a las normativas legales vigentes.</w:t>
      </w:r>
    </w:p>
    <w:p w:rsidRPr="00426F06" w:rsidR="00C459EE" w:rsidP="00264CBD" w:rsidRDefault="00C459EE" w14:paraId="612F49A2" w14:textId="3A66DF2E">
      <w:pPr>
        <w:jc w:val="both"/>
        <w:rPr>
          <w:rFonts w:ascii="Verdana" w:hAnsi="Verdana"/>
          <w:sz w:val="20"/>
          <w:szCs w:val="20"/>
        </w:rPr>
      </w:pPr>
      <w:r w:rsidRPr="00426F06">
        <w:rPr>
          <w:rFonts w:ascii="Verdana" w:hAnsi="Verdana"/>
          <w:sz w:val="20"/>
          <w:szCs w:val="20"/>
        </w:rPr>
        <w:t>La comisión de inspección estuvo integrada por personal de las siguientes instituciones: la Dirección de Investigación Criminalística -DICRI- del Ministerio Público; el Departamento de Auditoría, Seguimiento y Vigilancia Ambiental, Dirección de Cumplimiento Legal, Departamento de Recursos Hídricos y Cuencas del Ministerio de Ambiente y Recursos Naturales -MARN-; el Instituto Guatemalteco de Turismo -INGUAT- de Panajachel; la Dirección del Área de Salud, Panajachel; personal de la Municipalidad de Panajachel; Departamento de Investigación, Delitos Contra El Ambiente, División Especializada en Investigación Criminal -DEIC- de la Policía Nacional Civil de la Ciudad Guatemala.</w:t>
      </w:r>
    </w:p>
    <w:p w:rsidR="00C459EE" w:rsidP="00C459EE" w:rsidRDefault="00C459EE" w14:paraId="6E28B6D9" w14:textId="7B01B07C" w14:noSpellErr="1">
      <w:pPr>
        <w:jc w:val="center"/>
      </w:pPr>
      <w:r w:rsidR="00C459EE">
        <w:drawing>
          <wp:inline wp14:editId="729D8DD2" wp14:anchorId="2AFB8B5C">
            <wp:extent cx="1741681" cy="1306361"/>
            <wp:effectExtent l="0" t="0" r="0" b="8255"/>
            <wp:docPr id="44" name="Imagen 44" title=""/>
            <wp:cNvGraphicFramePr>
              <a:graphicFrameLocks noChangeAspect="1"/>
            </wp:cNvGraphicFramePr>
            <a:graphic>
              <a:graphicData uri="http://schemas.openxmlformats.org/drawingml/2006/picture">
                <pic:pic>
                  <pic:nvPicPr>
                    <pic:cNvPr id="0" name="Imagen 44"/>
                    <pic:cNvPicPr/>
                  </pic:nvPicPr>
                  <pic:blipFill>
                    <a:blip r:embed="Rbd3e005300fe4358">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1741681" cy="1306361"/>
                    </a:xfrm>
                    <a:prstGeom prst="rect">
                      <a:avLst/>
                    </a:prstGeom>
                  </pic:spPr>
                </pic:pic>
              </a:graphicData>
            </a:graphic>
          </wp:inline>
        </w:drawing>
      </w:r>
      <w:r w:rsidR="2257A5A8">
        <w:rPr/>
        <w:t xml:space="preserve">  </w:t>
      </w:r>
      <w:r w:rsidR="00C459EE">
        <w:drawing>
          <wp:inline wp14:editId="3C2D6A72" wp14:anchorId="0E945E5D">
            <wp:extent cx="1764594" cy="1323546"/>
            <wp:effectExtent l="0" t="0" r="7620" b="0"/>
            <wp:docPr id="45" name="Imagen 45" title=""/>
            <wp:cNvGraphicFramePr>
              <a:graphicFrameLocks noChangeAspect="1"/>
            </wp:cNvGraphicFramePr>
            <a:graphic>
              <a:graphicData uri="http://schemas.openxmlformats.org/drawingml/2006/picture">
                <pic:pic>
                  <pic:nvPicPr>
                    <pic:cNvPr id="0" name="Imagen 45"/>
                    <pic:cNvPicPr/>
                  </pic:nvPicPr>
                  <pic:blipFill>
                    <a:blip r:embed="R7c4b7ec333e943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64594" cy="1323546"/>
                    </a:xfrm>
                    <a:prstGeom prst="rect">
                      <a:avLst/>
                    </a:prstGeom>
                  </pic:spPr>
                </pic:pic>
              </a:graphicData>
            </a:graphic>
          </wp:inline>
        </w:drawing>
      </w:r>
      <w:r w:rsidR="2257A5A8">
        <w:rPr/>
        <w:t xml:space="preserve"> </w:t>
      </w:r>
      <w:r w:rsidR="00C459EE">
        <w:drawing>
          <wp:inline wp14:editId="630CBB67" wp14:anchorId="08BF7FA6">
            <wp:extent cx="990600" cy="1320800"/>
            <wp:effectExtent l="0" t="0" r="0" b="0"/>
            <wp:docPr id="46" name="Imagen 46" title=""/>
            <wp:cNvGraphicFramePr>
              <a:graphicFrameLocks noChangeAspect="1"/>
            </wp:cNvGraphicFramePr>
            <a:graphic>
              <a:graphicData uri="http://schemas.openxmlformats.org/drawingml/2006/picture">
                <pic:pic>
                  <pic:nvPicPr>
                    <pic:cNvPr id="0" name="Imagen 46"/>
                    <pic:cNvPicPr/>
                  </pic:nvPicPr>
                  <pic:blipFill>
                    <a:blip r:embed="Re2cc23bfbea240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90600" cy="1320800"/>
                    </a:xfrm>
                    <a:prstGeom prst="rect">
                      <a:avLst/>
                    </a:prstGeom>
                  </pic:spPr>
                </pic:pic>
              </a:graphicData>
            </a:graphic>
          </wp:inline>
        </w:drawing>
      </w:r>
    </w:p>
    <w:p w:rsidR="00FF2382" w:rsidP="00C459EE" w:rsidRDefault="00FF2382" w14:paraId="0ADC8FE4" w14:textId="33477314">
      <w:pPr>
        <w:jc w:val="center"/>
      </w:pPr>
      <w:r>
        <w:rPr>
          <w:noProof/>
        </w:rPr>
        <w:drawing>
          <wp:inline distT="0" distB="0" distL="0" distR="0" wp14:anchorId="421F2535" wp14:editId="378339D7">
            <wp:extent cx="3286125" cy="2653030"/>
            <wp:effectExtent l="0" t="0" r="9525" b="0"/>
            <wp:docPr id="30" name="Imagen 30"/>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7">
                      <a:extLst>
                        <a:ext uri="{28A0092B-C50C-407E-A947-70E740481C1C}">
                          <a14:useLocalDpi xmlns:a14="http://schemas.microsoft.com/office/drawing/2010/main" val="0"/>
                        </a:ext>
                      </a:extLst>
                    </a:blip>
                    <a:srcRect r="30143"/>
                    <a:stretch/>
                  </pic:blipFill>
                  <pic:spPr bwMode="auto">
                    <a:xfrm>
                      <a:off x="0" y="0"/>
                      <a:ext cx="3286125" cy="26530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D0F993" wp14:editId="26EB7DD7">
            <wp:extent cx="722630" cy="2653030"/>
            <wp:effectExtent l="0" t="0" r="1270" b="0"/>
            <wp:docPr id="24" name="Imagen 24"/>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7">
                      <a:extLst>
                        <a:ext uri="{28A0092B-C50C-407E-A947-70E740481C1C}">
                          <a14:useLocalDpi xmlns:a14="http://schemas.microsoft.com/office/drawing/2010/main" val="0"/>
                        </a:ext>
                      </a:extLst>
                    </a:blip>
                    <a:srcRect l="84638"/>
                    <a:stretch/>
                  </pic:blipFill>
                  <pic:spPr bwMode="auto">
                    <a:xfrm>
                      <a:off x="0" y="0"/>
                      <a:ext cx="722630" cy="2653030"/>
                    </a:xfrm>
                    <a:prstGeom prst="rect">
                      <a:avLst/>
                    </a:prstGeom>
                    <a:noFill/>
                    <a:ln>
                      <a:noFill/>
                    </a:ln>
                    <a:extLst>
                      <a:ext uri="{53640926-AAD7-44D8-BBD7-CCE9431645EC}">
                        <a14:shadowObscured xmlns:a14="http://schemas.microsoft.com/office/drawing/2010/main"/>
                      </a:ext>
                    </a:extLst>
                  </pic:spPr>
                </pic:pic>
              </a:graphicData>
            </a:graphic>
          </wp:inline>
        </w:drawing>
      </w:r>
    </w:p>
    <w:p w:rsidR="00FF2382" w:rsidP="00FF2382" w:rsidRDefault="00FF2382" w14:paraId="22A72E52" w14:textId="6B202AC5">
      <w:pPr>
        <w:jc w:val="both"/>
        <w:rPr>
          <w:b/>
          <w:bCs/>
        </w:rPr>
      </w:pPr>
      <w:r>
        <w:rPr>
          <w:b/>
          <w:bCs/>
        </w:rPr>
        <w:t>OTRAS INTERVENCIONES:</w:t>
      </w:r>
    </w:p>
    <w:p w:rsidR="00FF2382" w:rsidP="00FF2382" w:rsidRDefault="00FF2382" w14:paraId="02A8B9B6" w14:textId="77777777">
      <w:pPr>
        <w:pStyle w:val="Prrafodelista"/>
        <w:numPr>
          <w:ilvl w:val="0"/>
          <w:numId w:val="36"/>
        </w:numPr>
        <w:spacing w:line="256" w:lineRule="auto"/>
        <w:jc w:val="both"/>
      </w:pPr>
      <w:r>
        <w:t xml:space="preserve">Asistencia técnica a la DMP de la municipalidad de Panajachel para conformar expediente de construcción de ampliación PTAR Tzanjuyú. </w:t>
      </w:r>
    </w:p>
    <w:p w:rsidR="00FF2382" w:rsidP="00FF2382" w:rsidRDefault="00FF2382" w14:paraId="3C34E45F" w14:textId="77777777">
      <w:pPr>
        <w:pStyle w:val="Prrafodelista"/>
        <w:numPr>
          <w:ilvl w:val="0"/>
          <w:numId w:val="36"/>
        </w:numPr>
        <w:spacing w:line="256" w:lineRule="auto"/>
        <w:jc w:val="both"/>
      </w:pPr>
      <w:r>
        <w:t>Capacitación a operadores de la PTAR del municipio de San Marcos la Laguna.</w:t>
      </w:r>
    </w:p>
    <w:p w:rsidR="00FF2382" w:rsidP="00FF2382" w:rsidRDefault="00FF2382" w14:paraId="5429D73E" w14:textId="77777777">
      <w:pPr>
        <w:pStyle w:val="Prrafodelista"/>
        <w:numPr>
          <w:ilvl w:val="0"/>
          <w:numId w:val="36"/>
        </w:numPr>
        <w:spacing w:line="256" w:lineRule="auto"/>
        <w:jc w:val="both"/>
      </w:pPr>
      <w:r>
        <w:t xml:space="preserve">Visita técnica de reconocimiento del terreno donde se pretende crear un área para relleno sanitario del municipio de Sololá. </w:t>
      </w:r>
    </w:p>
    <w:p w:rsidR="00FF2382" w:rsidP="00FF2382" w:rsidRDefault="00FF2382" w14:paraId="64335158" w14:textId="77777777">
      <w:pPr>
        <w:pStyle w:val="Prrafodelista"/>
        <w:numPr>
          <w:ilvl w:val="0"/>
          <w:numId w:val="36"/>
        </w:numPr>
        <w:spacing w:line="256" w:lineRule="auto"/>
        <w:jc w:val="both"/>
      </w:pPr>
      <w:r>
        <w:t xml:space="preserve">Presentación de una App para levantamiento de información para generadores de desechos sólidos. </w:t>
      </w:r>
    </w:p>
    <w:p w:rsidR="00FF2382" w:rsidP="00FF2382" w:rsidRDefault="00FF2382" w14:paraId="1FC4856C" w14:textId="77777777">
      <w:pPr>
        <w:pStyle w:val="Prrafodelista"/>
        <w:numPr>
          <w:ilvl w:val="0"/>
          <w:numId w:val="36"/>
        </w:numPr>
        <w:spacing w:line="256" w:lineRule="auto"/>
        <w:jc w:val="both"/>
      </w:pPr>
      <w:r>
        <w:t>Acompañamiento en la jornada de recolección al tren de aseo realizando un censo de los usuarios que utilizan el sistema de recolección de desechos sólidos.</w:t>
      </w:r>
    </w:p>
    <w:p w:rsidR="00FF2382" w:rsidP="00FF2382" w:rsidRDefault="00FF2382" w14:paraId="513F3BA7" w14:textId="77777777">
      <w:pPr>
        <w:pStyle w:val="Prrafodelista"/>
        <w:numPr>
          <w:ilvl w:val="0"/>
          <w:numId w:val="36"/>
        </w:numPr>
        <w:spacing w:line="256" w:lineRule="auto"/>
        <w:jc w:val="both"/>
      </w:pPr>
      <w:r>
        <w:t xml:space="preserve">Visita y entrega de canecas a restaurantes que se incorporaron al programa de recolección de desechos especiales en el municipio de San Juan la Laguna, entre otros. </w:t>
      </w:r>
    </w:p>
    <w:p w:rsidR="00FF2382" w:rsidP="00C459EE" w:rsidRDefault="00FF2382" w14:paraId="5716952A" w14:textId="77777777">
      <w:pPr>
        <w:jc w:val="center"/>
      </w:pPr>
    </w:p>
    <w:p w:rsidR="00FF2382" w:rsidP="00C459EE" w:rsidRDefault="00FF2382" w14:paraId="012B0879" w14:textId="6AF0BC88">
      <w:pPr>
        <w:jc w:val="center"/>
      </w:pPr>
    </w:p>
    <w:p w:rsidRPr="0029185C" w:rsidR="006375BF" w:rsidP="006375BF" w:rsidRDefault="006375BF" w14:paraId="529D7BBA" w14:textId="6B3913F1">
      <w:pPr>
        <w:pStyle w:val="Sinespaciado"/>
        <w:ind w:left="-644" w:right="-660"/>
        <w:rPr>
          <w:rFonts w:ascii="Verdana" w:hAnsi="Verdana" w:cs="Arial"/>
          <w:sz w:val="20"/>
          <w:szCs w:val="20"/>
        </w:rPr>
      </w:pPr>
      <w:r w:rsidRPr="008B66AA">
        <w:rPr>
          <w:rFonts w:ascii="Verdana" w:hAnsi="Verdana" w:cs="Arial"/>
          <w:b/>
          <w:bCs/>
          <w:sz w:val="20"/>
          <w:szCs w:val="20"/>
        </w:rPr>
        <w:lastRenderedPageBreak/>
        <w:t>COMPONENTE DE INVESTIGACIÓN Y CALIDA</w:t>
      </w:r>
      <w:r w:rsidRPr="008B66AA" w:rsidR="00264CBD">
        <w:rPr>
          <w:rFonts w:ascii="Verdana" w:hAnsi="Verdana" w:cs="Arial"/>
          <w:b/>
          <w:bCs/>
          <w:sz w:val="20"/>
          <w:szCs w:val="20"/>
        </w:rPr>
        <w:t>D AMBIENTAL</w:t>
      </w:r>
    </w:p>
    <w:p w:rsidR="005B346F" w:rsidP="006375BF" w:rsidRDefault="005B346F" w14:paraId="50D090DC" w14:textId="6C521878">
      <w:pPr>
        <w:pStyle w:val="Sinespaciado"/>
        <w:ind w:left="-644" w:right="-660"/>
        <w:rPr>
          <w:rFonts w:ascii="Verdana" w:hAnsi="Verdana" w:cs="Arial"/>
          <w:sz w:val="20"/>
          <w:szCs w:val="20"/>
        </w:rPr>
      </w:pPr>
    </w:p>
    <w:p w:rsidR="0029185C" w:rsidP="0029185C" w:rsidRDefault="005B346F" w14:paraId="331E43B8" w14:textId="731B6C1D">
      <w:pPr>
        <w:pStyle w:val="paragraph"/>
        <w:shd w:val="clear" w:color="auto" w:fill="FFFFFF"/>
        <w:spacing w:before="0" w:beforeAutospacing="0" w:after="0" w:afterAutospacing="0"/>
        <w:textAlignment w:val="baseline"/>
        <w:rPr>
          <w:rStyle w:val="eop"/>
          <w:rFonts w:ascii="Century Gothic" w:hAnsi="Century Gothic" w:cs="Segoe UI"/>
          <w:sz w:val="20"/>
          <w:szCs w:val="20"/>
        </w:rPr>
      </w:pPr>
      <w:r>
        <w:rPr>
          <w:rStyle w:val="normaltextrun"/>
          <w:rFonts w:ascii="Century Gothic" w:hAnsi="Century Gothic" w:cs="Segoe UI"/>
          <w:b/>
          <w:bCs/>
          <w:sz w:val="20"/>
          <w:szCs w:val="20"/>
          <w:lang w:val="es-419"/>
        </w:rPr>
        <w:t>AMSCLAE, SENACYT y la USAC unifican esfuerzos para la ejecución de investigaciones científicas en el lago</w:t>
      </w:r>
      <w:r w:rsidRPr="006E4F0C">
        <w:rPr>
          <w:rStyle w:val="normaltextrun"/>
          <w:rFonts w:ascii="Century Gothic" w:hAnsi="Century Gothic" w:cs="Segoe UI"/>
          <w:b/>
          <w:bCs/>
          <w:color w:val="FF0000"/>
          <w:sz w:val="20"/>
          <w:szCs w:val="20"/>
          <w:lang w:val="es-419"/>
        </w:rPr>
        <w:t xml:space="preserve"> </w:t>
      </w:r>
      <w:r>
        <w:rPr>
          <w:rStyle w:val="normaltextrun"/>
          <w:rFonts w:ascii="Century Gothic" w:hAnsi="Century Gothic" w:cs="Segoe UI"/>
          <w:b/>
          <w:bCs/>
          <w:sz w:val="20"/>
          <w:szCs w:val="20"/>
          <w:lang w:val="es-419"/>
        </w:rPr>
        <w:t>Atitlán</w:t>
      </w:r>
      <w:r>
        <w:rPr>
          <w:rStyle w:val="eop"/>
          <w:rFonts w:ascii="Century Gothic" w:hAnsi="Century Gothic" w:cs="Segoe UI"/>
          <w:sz w:val="20"/>
          <w:szCs w:val="20"/>
        </w:rPr>
        <w:t> </w:t>
      </w:r>
    </w:p>
    <w:p w:rsidR="0029185C" w:rsidP="0029185C" w:rsidRDefault="0029185C" w14:paraId="6F3D6C13" w14:textId="77777777">
      <w:pPr>
        <w:pStyle w:val="paragraph"/>
        <w:shd w:val="clear" w:color="auto" w:fill="FFFFFF"/>
        <w:spacing w:before="0" w:beforeAutospacing="0" w:after="0" w:afterAutospacing="0"/>
        <w:textAlignment w:val="baseline"/>
        <w:rPr>
          <w:rStyle w:val="eop"/>
          <w:rFonts w:ascii="Century Gothic" w:hAnsi="Century Gothic" w:cs="Segoe UI"/>
          <w:sz w:val="20"/>
          <w:szCs w:val="20"/>
        </w:rPr>
      </w:pPr>
    </w:p>
    <w:p w:rsidRPr="0029185C" w:rsidR="005B346F" w:rsidP="0029185C" w:rsidRDefault="005B346F" w14:paraId="5F4DFAD5" w14:textId="2B18BDFD">
      <w:pPr>
        <w:pStyle w:val="paragraph"/>
        <w:shd w:val="clear" w:color="auto" w:fill="FFFFFF"/>
        <w:spacing w:before="0" w:beforeAutospacing="0" w:after="0" w:afterAutospacing="0"/>
        <w:jc w:val="both"/>
        <w:textAlignment w:val="baseline"/>
        <w:rPr>
          <w:rStyle w:val="eop"/>
          <w:rFonts w:ascii="Segoe UI" w:hAnsi="Segoe UI" w:cs="Segoe UI"/>
          <w:sz w:val="18"/>
          <w:szCs w:val="18"/>
        </w:rPr>
      </w:pPr>
      <w:r w:rsidRPr="00E63943">
        <w:rPr>
          <w:rStyle w:val="normaltextrun"/>
          <w:rFonts w:ascii="Verdana" w:hAnsi="Verdana" w:cs="Segoe UI"/>
          <w:sz w:val="20"/>
          <w:szCs w:val="20"/>
          <w:lang w:val="es-ES"/>
        </w:rPr>
        <w:t>En cumplimiento a las acciones que se derivan del convenio interinstitucional con la Facultad de Ciencias Químicas y Farmacia de la Universidad de San Carlos de Guatemala, AMSCLAE realizó las gestiones de seguimiento con la Secretaría Nacional de Ciencia y Tecnología -SENACYT-, para la donación de un equipo</w:t>
      </w:r>
      <w:r w:rsidRPr="00E63943">
        <w:rPr>
          <w:rStyle w:val="normaltextrun"/>
          <w:rFonts w:ascii="Verdana" w:hAnsi="Verdana" w:cs="Segoe UI"/>
          <w:sz w:val="20"/>
          <w:szCs w:val="20"/>
          <w:lang w:val="es-419"/>
        </w:rPr>
        <w:t> </w:t>
      </w:r>
      <w:r w:rsidRPr="00E63943">
        <w:rPr>
          <w:rStyle w:val="normaltextrun"/>
          <w:rFonts w:ascii="Verdana" w:hAnsi="Verdana" w:cs="Segoe UI"/>
          <w:sz w:val="20"/>
          <w:szCs w:val="20"/>
          <w:lang w:val="es-ES"/>
        </w:rPr>
        <w:t>cromatógrafo de gases </w:t>
      </w:r>
      <w:r w:rsidRPr="00E63943">
        <w:rPr>
          <w:rStyle w:val="normaltextrun"/>
          <w:rFonts w:ascii="Verdana" w:hAnsi="Verdana" w:cs="Segoe UI"/>
          <w:sz w:val="20"/>
          <w:szCs w:val="20"/>
          <w:lang w:val="es-419"/>
        </w:rPr>
        <w:t>que servirá para la ejecución del proyecto de investigación científica en la cuenca del Lago de Atitlán.</w:t>
      </w:r>
      <w:r w:rsidRPr="00E63943">
        <w:rPr>
          <w:rStyle w:val="eop"/>
          <w:rFonts w:ascii="Verdana" w:hAnsi="Verdana" w:cs="Segoe UI"/>
          <w:sz w:val="20"/>
          <w:szCs w:val="20"/>
        </w:rPr>
        <w:t> </w:t>
      </w:r>
    </w:p>
    <w:p w:rsidRPr="00E63943" w:rsidR="005B346F" w:rsidP="005B346F" w:rsidRDefault="0029185C" w14:paraId="279F61F7" w14:textId="408B04BE">
      <w:pPr>
        <w:pStyle w:val="paragraph"/>
        <w:spacing w:before="0" w:beforeAutospacing="0" w:after="0" w:afterAutospacing="0"/>
        <w:jc w:val="both"/>
        <w:textAlignment w:val="baseline"/>
        <w:rPr>
          <w:rFonts w:ascii="Verdana" w:hAnsi="Verdana" w:cs="Segoe UI"/>
          <w:sz w:val="20"/>
          <w:szCs w:val="20"/>
        </w:rPr>
      </w:pPr>
      <w:r w:rsidRPr="00E63943">
        <w:rPr>
          <w:rFonts w:ascii="Verdana" w:hAnsi="Verdana" w:cs="Arial"/>
          <w:noProof/>
          <w:sz w:val="20"/>
          <w:szCs w:val="20"/>
        </w:rPr>
        <w:drawing>
          <wp:anchor distT="0" distB="0" distL="114300" distR="114300" simplePos="0" relativeHeight="251707392" behindDoc="0" locked="0" layoutInCell="1" allowOverlap="1" wp14:anchorId="2293662D" wp14:editId="3041C3B7">
            <wp:simplePos x="0" y="0"/>
            <wp:positionH relativeFrom="margin">
              <wp:align>right</wp:align>
            </wp:positionH>
            <wp:positionV relativeFrom="paragraph">
              <wp:posOffset>40005</wp:posOffset>
            </wp:positionV>
            <wp:extent cx="1746885" cy="950595"/>
            <wp:effectExtent l="0" t="0" r="5715" b="1905"/>
            <wp:wrapSquare wrapText="bothSides"/>
            <wp:docPr id="13" name="Imagen 13" descr="E:\escritorio\3. Marzo AMSCLAE\18.03- 11 punetos de Monitoreo FAUSAC\d912e845-0b66-43b5-b804-530141b40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critorio\3. Marzo AMSCLAE\18.03- 11 punetos de Monitoreo FAUSAC\d912e845-0b66-43b5-b804-530141b40eb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2890"/>
                    <a:stretch/>
                  </pic:blipFill>
                  <pic:spPr bwMode="auto">
                    <a:xfrm>
                      <a:off x="0" y="0"/>
                      <a:ext cx="1746885" cy="95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A165DB5">
        <w:rPr/>
        <w:t/>
      </w:r>
      <w:r w:rsidR="5DAC0B5F">
        <w:rPr/>
        <w:t/>
      </w:r>
    </w:p>
    <w:p w:rsidRPr="00E63943" w:rsidR="00831B60" w:rsidP="00831B60" w:rsidRDefault="005B346F" w14:paraId="49AB20F4" w14:textId="779F97AF">
      <w:pPr>
        <w:pStyle w:val="paragraph"/>
        <w:spacing w:before="0" w:beforeAutospacing="0" w:after="0" w:afterAutospacing="0"/>
        <w:jc w:val="both"/>
        <w:textAlignment w:val="baseline"/>
        <w:rPr>
          <w:rStyle w:val="eop"/>
          <w:rFonts w:ascii="Verdana" w:hAnsi="Verdana" w:cs="Segoe UI"/>
          <w:sz w:val="20"/>
          <w:szCs w:val="20"/>
        </w:rPr>
      </w:pPr>
      <w:r w:rsidRPr="00E63943">
        <w:rPr>
          <w:rStyle w:val="normaltextrun"/>
          <w:rFonts w:ascii="Verdana" w:hAnsi="Verdana" w:cs="Segoe UI"/>
          <w:sz w:val="20"/>
          <w:szCs w:val="20"/>
          <w:lang w:val="es-419"/>
        </w:rPr>
        <w:t>En este sentido y tras la entrega de este equipo, </w:t>
      </w:r>
      <w:r w:rsidRPr="00E63943">
        <w:rPr>
          <w:rStyle w:val="normaltextrun"/>
          <w:rFonts w:ascii="Verdana" w:hAnsi="Verdana" w:cs="Segoe UI"/>
          <w:sz w:val="20"/>
          <w:szCs w:val="20"/>
          <w:lang w:val="es-ES"/>
        </w:rPr>
        <w:t>el Departamento de Investigación y Calidad Ambiental </w:t>
      </w:r>
      <w:r w:rsidRPr="00E63943">
        <w:rPr>
          <w:rStyle w:val="normaltextrun"/>
          <w:rFonts w:ascii="Verdana" w:hAnsi="Verdana" w:cs="Segoe UI"/>
          <w:sz w:val="20"/>
          <w:szCs w:val="20"/>
          <w:lang w:val="es-419"/>
        </w:rPr>
        <w:t>de la AMSCLAE </w:t>
      </w:r>
      <w:r w:rsidRPr="00E63943">
        <w:rPr>
          <w:rStyle w:val="normaltextrun"/>
          <w:rFonts w:ascii="Verdana" w:hAnsi="Verdana" w:cs="Segoe UI"/>
          <w:sz w:val="20"/>
          <w:szCs w:val="20"/>
          <w:lang w:val="es-ES"/>
        </w:rPr>
        <w:t>en coordinación con técnicos de la USAC, realizaron un monitoreo en 11 puntos del lago de </w:t>
      </w:r>
      <w:proofErr w:type="spellStart"/>
      <w:r w:rsidRPr="00E63943">
        <w:rPr>
          <w:rStyle w:val="normaltextrun"/>
          <w:rFonts w:ascii="Verdana" w:hAnsi="Verdana" w:cs="Segoe UI"/>
          <w:sz w:val="20"/>
          <w:szCs w:val="20"/>
          <w:lang w:val="es-ES"/>
        </w:rPr>
        <w:t>Atitlá</w:t>
      </w:r>
      <w:proofErr w:type="spellEnd"/>
      <w:r w:rsidRPr="00E63943">
        <w:rPr>
          <w:rStyle w:val="normaltextrun"/>
          <w:rFonts w:ascii="Verdana" w:hAnsi="Verdana" w:cs="Segoe UI"/>
          <w:sz w:val="20"/>
          <w:szCs w:val="20"/>
          <w:lang w:val="es-419"/>
        </w:rPr>
        <w:t>n.</w:t>
      </w:r>
      <w:r w:rsidRPr="00E63943">
        <w:rPr>
          <w:rStyle w:val="eop"/>
          <w:rFonts w:ascii="Verdana" w:hAnsi="Verdana" w:cs="Segoe UI"/>
          <w:sz w:val="20"/>
          <w:szCs w:val="20"/>
        </w:rPr>
        <w:t> </w:t>
      </w:r>
    </w:p>
    <w:p w:rsidRPr="00E63943" w:rsidR="00831B60" w:rsidP="00831B60" w:rsidRDefault="00831B60" w14:paraId="627143D5" w14:textId="153F487F">
      <w:pPr>
        <w:pStyle w:val="paragraph"/>
        <w:spacing w:before="0" w:beforeAutospacing="0" w:after="0" w:afterAutospacing="0"/>
        <w:jc w:val="both"/>
        <w:textAlignment w:val="baseline"/>
        <w:rPr>
          <w:rStyle w:val="eop"/>
          <w:rFonts w:ascii="Verdana" w:hAnsi="Verdana" w:cs="Segoe UI"/>
          <w:sz w:val="20"/>
          <w:szCs w:val="20"/>
        </w:rPr>
      </w:pPr>
    </w:p>
    <w:p w:rsidR="0029185C" w:rsidP="00E63943" w:rsidRDefault="0029185C" w14:paraId="39C3EB3D" w14:textId="6B6271F5">
      <w:pPr>
        <w:pStyle w:val="paragraph"/>
        <w:spacing w:before="0" w:beforeAutospacing="0" w:after="0" w:afterAutospacing="0"/>
        <w:jc w:val="both"/>
        <w:textAlignment w:val="baseline"/>
        <w:rPr>
          <w:rFonts w:ascii="Verdana" w:hAnsi="Verdana"/>
          <w:sz w:val="20"/>
          <w:szCs w:val="20"/>
        </w:rPr>
      </w:pPr>
      <w:r w:rsidRPr="00E63943">
        <w:rPr>
          <w:rFonts w:ascii="Verdana" w:hAnsi="Verdana" w:cs="Arial"/>
          <w:noProof/>
          <w:sz w:val="20"/>
          <w:szCs w:val="20"/>
        </w:rPr>
        <w:drawing>
          <wp:anchor distT="0" distB="0" distL="114300" distR="114300" simplePos="0" relativeHeight="251708416" behindDoc="0" locked="0" layoutInCell="1" allowOverlap="1" wp14:anchorId="6AF69AAD" wp14:editId="6E1AE4F4">
            <wp:simplePos x="0" y="0"/>
            <wp:positionH relativeFrom="margin">
              <wp:align>right</wp:align>
            </wp:positionH>
            <wp:positionV relativeFrom="paragraph">
              <wp:posOffset>116205</wp:posOffset>
            </wp:positionV>
            <wp:extent cx="1769110" cy="986790"/>
            <wp:effectExtent l="0" t="0" r="2540" b="3810"/>
            <wp:wrapSquare wrapText="bothSides"/>
            <wp:docPr id="14" name="Imagen 14" descr="E:\escritorio\3. Marzo AMSCLAE\18.03- 11 punetos de Monitoreo FAUSAC\02e239ef-d0e2-4233-b339-b0f37c8aa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ritorio\3. Marzo AMSCLAE\18.03- 11 punetos de Monitoreo FAUSAC\02e239ef-d0e2-4233-b339-b0f37c8aaf5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21" r="10104"/>
                    <a:stretch/>
                  </pic:blipFill>
                  <pic:spPr bwMode="auto">
                    <a:xfrm>
                      <a:off x="0" y="0"/>
                      <a:ext cx="1769110"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3943" w:rsidR="00831B60">
        <w:rPr>
          <w:rFonts w:ascii="Verdana" w:hAnsi="Verdana"/>
          <w:sz w:val="20"/>
          <w:szCs w:val="20"/>
        </w:rPr>
        <w:t>Desde el 2012, se iniciaron las comunicaciones entre AMSCLAE y la Facultad de Ciencias Químicas y Farmacia. Formulando una gestión conjunta de financiamiento y capacitación, resultado de ello, se celebró una carta de entendimiento y se estableció la prioridad de determinar la calidad del agua del lago en relación a componentes químicos presentes, como los plaguicidas y la presencia de estos en organismos acuáticos tal como cangrejos.</w:t>
      </w:r>
    </w:p>
    <w:p w:rsidR="00C459EE" w:rsidP="00E63943" w:rsidRDefault="00C459EE" w14:paraId="3ABAA8C8" w14:textId="25E9E656">
      <w:pPr>
        <w:pStyle w:val="paragraph"/>
        <w:spacing w:before="0" w:beforeAutospacing="0" w:after="0" w:afterAutospacing="0"/>
        <w:jc w:val="both"/>
        <w:textAlignment w:val="baseline"/>
        <w:rPr>
          <w:rFonts w:ascii="Verdana" w:hAnsi="Verdana"/>
          <w:sz w:val="20"/>
          <w:szCs w:val="20"/>
        </w:rPr>
      </w:pPr>
    </w:p>
    <w:p w:rsidRPr="00426F06" w:rsidR="00C459EE" w:rsidP="00C459EE" w:rsidRDefault="00C459EE" w14:paraId="5ED1A793" w14:textId="77777777">
      <w:pPr>
        <w:rPr>
          <w:rFonts w:ascii="Verdana" w:hAnsi="Verdana"/>
          <w:b/>
          <w:bCs/>
          <w:sz w:val="20"/>
          <w:szCs w:val="20"/>
        </w:rPr>
      </w:pPr>
      <w:r w:rsidRPr="00426F06">
        <w:rPr>
          <w:rFonts w:ascii="Verdana" w:hAnsi="Verdana"/>
          <w:b/>
          <w:bCs/>
          <w:sz w:val="20"/>
          <w:szCs w:val="20"/>
        </w:rPr>
        <w:t>AMSCLAE inspecciona contaminación en Santa Cruz La Laguna</w:t>
      </w:r>
    </w:p>
    <w:p w:rsidRPr="00426F06" w:rsidR="00C459EE" w:rsidP="00C459EE" w:rsidRDefault="00C459EE" w14:paraId="2C16A917" w14:textId="77777777">
      <w:pPr>
        <w:jc w:val="both"/>
        <w:rPr>
          <w:rFonts w:ascii="Verdana" w:hAnsi="Verdana"/>
          <w:sz w:val="20"/>
          <w:szCs w:val="20"/>
        </w:rPr>
      </w:pPr>
      <w:r w:rsidRPr="00426F06">
        <w:rPr>
          <w:rFonts w:ascii="Verdana" w:hAnsi="Verdana"/>
          <w:sz w:val="20"/>
          <w:szCs w:val="20"/>
        </w:rPr>
        <w:t>Atendiendo denuncia pública por población de Santa Cruz La Laguna sobre contaminación a orillas de lago, el Director Ejecutivo de AMSCLAE, Ing. Pedro Geovanni Toc Cobox y técnicos del Departamento de Investigación y Calidad Ambiental, inspeccionaron el área y se constató que existe contaminación por plásticos, madera y basura flotante.</w:t>
      </w:r>
    </w:p>
    <w:p w:rsidRPr="00426F06" w:rsidR="00C459EE" w:rsidP="00C459EE" w:rsidRDefault="00C459EE" w14:paraId="7C61A667" w14:textId="77777777">
      <w:pPr>
        <w:jc w:val="both"/>
        <w:rPr>
          <w:rFonts w:ascii="Verdana" w:hAnsi="Verdana"/>
          <w:sz w:val="20"/>
          <w:szCs w:val="20"/>
        </w:rPr>
      </w:pPr>
      <w:r w:rsidRPr="00426F06">
        <w:rPr>
          <w:rFonts w:ascii="Verdana" w:hAnsi="Verdana"/>
          <w:sz w:val="20"/>
          <w:szCs w:val="20"/>
        </w:rPr>
        <w:t xml:space="preserve">Durante la inspección se tomaron muestras de agua en distintos puntos, las cuales serán evaluadas en el laboratorio de AMSCLAE, para determinar las características físico-químicas y así establecer propuestas de solución a la problemática. </w:t>
      </w:r>
    </w:p>
    <w:p w:rsidRPr="00426F06" w:rsidR="00C459EE" w:rsidP="00C459EE" w:rsidRDefault="00C459EE" w14:paraId="4939AF75" w14:textId="77777777">
      <w:pPr>
        <w:jc w:val="both"/>
        <w:rPr>
          <w:rFonts w:ascii="Verdana" w:hAnsi="Verdana"/>
          <w:sz w:val="20"/>
          <w:szCs w:val="20"/>
        </w:rPr>
      </w:pPr>
      <w:r w:rsidRPr="00426F06">
        <w:rPr>
          <w:rFonts w:ascii="Verdana" w:hAnsi="Verdana"/>
          <w:sz w:val="20"/>
          <w:szCs w:val="20"/>
        </w:rPr>
        <w:t>Este problema de contaminación ambiental se acentúa en época lluviosa, por el arrastre de basura que se genera en los ríos, desembocando directamente al Lago, el cual es desechada por habitantes de los municipios de la Cuenca, sin la disposición final que deben tener.</w:t>
      </w:r>
    </w:p>
    <w:p w:rsidR="006C0738" w:rsidP="000B7D95" w:rsidRDefault="00C459EE" w14:paraId="00C8B04C" w14:textId="03138B61">
      <w:pPr>
        <w:jc w:val="center"/>
        <w:rPr>
          <w:rFonts w:ascii="Verdana" w:hAnsi="Verdana"/>
          <w:sz w:val="20"/>
          <w:szCs w:val="20"/>
        </w:rPr>
      </w:pPr>
      <w:r w:rsidR="00C459EE">
        <w:drawing>
          <wp:inline wp14:editId="64AAA082" wp14:anchorId="0BB4C52B">
            <wp:extent cx="933450" cy="1244599"/>
            <wp:effectExtent l="0" t="0" r="0" b="0"/>
            <wp:docPr id="41" name="Imagen 41" title=""/>
            <wp:cNvGraphicFramePr>
              <a:graphicFrameLocks noChangeAspect="1"/>
            </wp:cNvGraphicFramePr>
            <a:graphic>
              <a:graphicData uri="http://schemas.openxmlformats.org/drawingml/2006/picture">
                <pic:pic>
                  <pic:nvPicPr>
                    <pic:cNvPr id="0" name="Imagen 41"/>
                    <pic:cNvPicPr/>
                  </pic:nvPicPr>
                  <pic:blipFill>
                    <a:blip r:embed="R0dba4ede232f48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33450" cy="1244599"/>
                    </a:xfrm>
                    <a:prstGeom prst="rect">
                      <a:avLst/>
                    </a:prstGeom>
                  </pic:spPr>
                </pic:pic>
              </a:graphicData>
            </a:graphic>
          </wp:inline>
        </w:drawing>
      </w:r>
      <w:r w:rsidRPr="5DAC0B5F" w:rsidR="2257A5A8">
        <w:rPr>
          <w:rFonts w:ascii="Verdana" w:hAnsi="Verdana"/>
          <w:sz w:val="20"/>
          <w:szCs w:val="20"/>
        </w:rPr>
        <w:t xml:space="preserve">  </w:t>
      </w:r>
      <w:r w:rsidR="00C459EE">
        <w:drawing>
          <wp:inline wp14:editId="5916D6BA" wp14:anchorId="69E58E9F">
            <wp:extent cx="1695450" cy="1271682"/>
            <wp:effectExtent l="0" t="0" r="0" b="5080"/>
            <wp:docPr id="42" name="Imagen 42" title=""/>
            <wp:cNvGraphicFramePr>
              <a:graphicFrameLocks noChangeAspect="1"/>
            </wp:cNvGraphicFramePr>
            <a:graphic>
              <a:graphicData uri="http://schemas.openxmlformats.org/drawingml/2006/picture">
                <pic:pic>
                  <pic:nvPicPr>
                    <pic:cNvPr id="0" name="Imagen 42"/>
                    <pic:cNvPicPr/>
                  </pic:nvPicPr>
                  <pic:blipFill>
                    <a:blip r:embed="R535c52f43c1749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95450" cy="1271682"/>
                    </a:xfrm>
                    <a:prstGeom prst="rect">
                      <a:avLst/>
                    </a:prstGeom>
                  </pic:spPr>
                </pic:pic>
              </a:graphicData>
            </a:graphic>
          </wp:inline>
        </w:drawing>
      </w:r>
      <w:r w:rsidRPr="5DAC0B5F" w:rsidR="2257A5A8">
        <w:rPr>
          <w:rFonts w:ascii="Verdana" w:hAnsi="Verdana"/>
          <w:sz w:val="20"/>
          <w:szCs w:val="20"/>
        </w:rPr>
        <w:t xml:space="preserve">  </w:t>
      </w:r>
      <w:r w:rsidR="00C459EE">
        <w:drawing>
          <wp:inline wp14:editId="43E77A21" wp14:anchorId="7F47A24A">
            <wp:extent cx="2251885" cy="1301497"/>
            <wp:effectExtent l="0" t="0" r="0" b="0"/>
            <wp:docPr id="43" name="Imagen 43" title=""/>
            <wp:cNvGraphicFramePr>
              <a:graphicFrameLocks noChangeAspect="1"/>
            </wp:cNvGraphicFramePr>
            <a:graphic>
              <a:graphicData uri="http://schemas.openxmlformats.org/drawingml/2006/picture">
                <pic:pic>
                  <pic:nvPicPr>
                    <pic:cNvPr id="0" name="Imagen 43"/>
                    <pic:cNvPicPr/>
                  </pic:nvPicPr>
                  <pic:blipFill>
                    <a:blip r:embed="Ra420a943925747b3">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2251885" cy="1301497"/>
                    </a:xfrm>
                    <a:prstGeom prst="rect">
                      <a:avLst/>
                    </a:prstGeom>
                  </pic:spPr>
                </pic:pic>
              </a:graphicData>
            </a:graphic>
          </wp:inline>
        </w:drawing>
      </w:r>
    </w:p>
    <w:p w:rsidRPr="006306A4" w:rsidR="006306A4" w:rsidP="000B7D95" w:rsidRDefault="006306A4" w14:paraId="1FD6AD68" w14:textId="09C725DC">
      <w:pPr>
        <w:jc w:val="center"/>
        <w:rPr>
          <w:rFonts w:ascii="Verdana" w:hAnsi="Verdana"/>
          <w:b/>
          <w:bCs/>
          <w:sz w:val="20"/>
          <w:szCs w:val="20"/>
        </w:rPr>
      </w:pPr>
    </w:p>
    <w:p w:rsidRPr="006306A4" w:rsidR="006306A4" w:rsidP="006306A4" w:rsidRDefault="006306A4" w14:paraId="38042072" w14:textId="253B241A">
      <w:pPr>
        <w:rPr>
          <w:rFonts w:ascii="Verdana" w:hAnsi="Verdana"/>
          <w:b/>
          <w:bCs/>
          <w:sz w:val="20"/>
          <w:szCs w:val="20"/>
        </w:rPr>
      </w:pPr>
      <w:r w:rsidRPr="006306A4">
        <w:rPr>
          <w:rFonts w:ascii="Verdana" w:hAnsi="Verdana"/>
          <w:b/>
          <w:bCs/>
          <w:sz w:val="20"/>
          <w:szCs w:val="20"/>
        </w:rPr>
        <w:t>OTRAS INTERVENCIONES:</w:t>
      </w:r>
    </w:p>
    <w:p w:rsidR="008B66AA" w:rsidP="008B66AA" w:rsidRDefault="008B66AA" w14:paraId="17F490C7" w14:textId="77777777">
      <w:pPr>
        <w:pStyle w:val="Prrafodelista"/>
        <w:numPr>
          <w:ilvl w:val="0"/>
          <w:numId w:val="37"/>
        </w:numPr>
        <w:spacing w:after="0" w:line="256" w:lineRule="auto"/>
        <w:ind w:left="714" w:hanging="357"/>
        <w:jc w:val="both"/>
      </w:pPr>
      <w:r>
        <w:t>Monitoreo climático</w:t>
      </w:r>
    </w:p>
    <w:p w:rsidR="008B66AA" w:rsidP="008B66AA" w:rsidRDefault="008B66AA" w14:paraId="199836BF" w14:textId="77777777">
      <w:pPr>
        <w:pStyle w:val="Prrafodelista"/>
        <w:numPr>
          <w:ilvl w:val="0"/>
          <w:numId w:val="37"/>
        </w:numPr>
        <w:spacing w:after="0" w:line="256" w:lineRule="auto"/>
        <w:ind w:left="714" w:hanging="357"/>
        <w:jc w:val="both"/>
      </w:pPr>
      <w:r>
        <w:t>Monitoreo del nivel del lago</w:t>
      </w:r>
    </w:p>
    <w:p w:rsidR="008B66AA" w:rsidP="008B66AA" w:rsidRDefault="008B66AA" w14:paraId="7F78F73A" w14:textId="77777777">
      <w:pPr>
        <w:pStyle w:val="Prrafodelista"/>
        <w:numPr>
          <w:ilvl w:val="0"/>
          <w:numId w:val="37"/>
        </w:numPr>
        <w:spacing w:after="0" w:line="256" w:lineRule="auto"/>
        <w:ind w:left="714" w:hanging="357"/>
        <w:jc w:val="both"/>
      </w:pPr>
      <w:r>
        <w:t>Siembra de tul en playa Santa Cruz la Laguna</w:t>
      </w:r>
    </w:p>
    <w:p w:rsidR="008B66AA" w:rsidP="008B66AA" w:rsidRDefault="008B66AA" w14:paraId="5EB174F6" w14:textId="0266F1BA">
      <w:pPr>
        <w:pStyle w:val="Prrafodelista"/>
        <w:numPr>
          <w:ilvl w:val="0"/>
          <w:numId w:val="37"/>
        </w:numPr>
        <w:spacing w:after="0" w:line="256" w:lineRule="auto"/>
        <w:ind w:left="714" w:hanging="357"/>
        <w:jc w:val="both"/>
      </w:pPr>
      <w:r>
        <w:t>Monitoreo de vegetación acuática</w:t>
      </w:r>
      <w:r w:rsidR="006306A4">
        <w:t>.</w:t>
      </w:r>
    </w:p>
    <w:p w:rsidR="006C0738" w:rsidP="006375BF" w:rsidRDefault="006C0738" w14:paraId="1F4956D2" w14:textId="5B947B8F">
      <w:pPr>
        <w:pStyle w:val="Sinespaciado"/>
        <w:ind w:left="-644" w:right="-660"/>
        <w:rPr>
          <w:rFonts w:ascii="Verdana" w:hAnsi="Verdana" w:cs="Arial"/>
          <w:b/>
          <w:bCs/>
          <w:sz w:val="20"/>
          <w:szCs w:val="20"/>
        </w:rPr>
      </w:pPr>
    </w:p>
    <w:p w:rsidR="006C0738" w:rsidP="006375BF" w:rsidRDefault="006C0738" w14:paraId="6A550728" w14:textId="77777777">
      <w:pPr>
        <w:pStyle w:val="Sinespaciado"/>
        <w:ind w:left="-644" w:right="-660"/>
        <w:rPr>
          <w:rFonts w:ascii="Verdana" w:hAnsi="Verdana" w:cs="Arial"/>
          <w:b/>
          <w:bCs/>
          <w:sz w:val="20"/>
          <w:szCs w:val="20"/>
        </w:rPr>
      </w:pPr>
    </w:p>
    <w:p w:rsidR="00C459EE" w:rsidP="005F67D2" w:rsidRDefault="006375BF" w14:paraId="3558F545" w14:textId="514C8937">
      <w:pPr>
        <w:pStyle w:val="Sinespaciado"/>
        <w:ind w:left="-644" w:right="-660"/>
        <w:rPr>
          <w:rFonts w:ascii="Verdana" w:hAnsi="Verdana" w:cs="Arial"/>
          <w:sz w:val="20"/>
          <w:szCs w:val="20"/>
        </w:rPr>
      </w:pPr>
      <w:r w:rsidRPr="006306A4">
        <w:rPr>
          <w:rFonts w:ascii="Verdana" w:hAnsi="Verdana" w:cs="Arial"/>
          <w:b/>
          <w:bCs/>
          <w:sz w:val="20"/>
          <w:szCs w:val="20"/>
        </w:rPr>
        <w:t>COMPONENTE AGRÍCOLA FORESTAL</w:t>
      </w:r>
    </w:p>
    <w:p w:rsidR="00C459EE" w:rsidP="005F67D2" w:rsidRDefault="00C459EE" w14:paraId="3E476506" w14:textId="53FB65C7">
      <w:pPr>
        <w:pStyle w:val="Sinespaciado"/>
        <w:ind w:left="-644" w:right="-660"/>
        <w:rPr>
          <w:rFonts w:ascii="Verdana" w:hAnsi="Verdana" w:cs="Arial"/>
          <w:sz w:val="20"/>
          <w:szCs w:val="20"/>
        </w:rPr>
      </w:pPr>
    </w:p>
    <w:p w:rsidRPr="00426F06" w:rsidR="00C459EE" w:rsidP="00C459EE" w:rsidRDefault="00C459EE" w14:paraId="44CC5F47" w14:textId="21E5E0A1">
      <w:pPr>
        <w:jc w:val="both"/>
        <w:rPr>
          <w:rFonts w:ascii="Verdana" w:hAnsi="Verdana"/>
          <w:b/>
          <w:sz w:val="20"/>
          <w:szCs w:val="20"/>
        </w:rPr>
      </w:pPr>
      <w:r w:rsidRPr="00426F06">
        <w:rPr>
          <w:rFonts w:ascii="Verdana" w:hAnsi="Verdana"/>
          <w:b/>
          <w:sz w:val="20"/>
          <w:szCs w:val="20"/>
        </w:rPr>
        <w:t>AMSCLAE y AGREQUIMA firman convenio para fortalecer el manejo integral de residuos sólidos en el sector agrícola de la cuenca del lago de Atitlán</w:t>
      </w:r>
    </w:p>
    <w:p w:rsidRPr="00426F06" w:rsidR="00C459EE" w:rsidP="00C459EE" w:rsidRDefault="00C459EE" w14:paraId="6F700D38" w14:textId="77777777">
      <w:pPr>
        <w:jc w:val="both"/>
        <w:rPr>
          <w:rFonts w:ascii="Verdana" w:hAnsi="Verdana"/>
          <w:sz w:val="20"/>
          <w:szCs w:val="20"/>
        </w:rPr>
      </w:pPr>
      <w:r w:rsidRPr="00426F06">
        <w:rPr>
          <w:rFonts w:ascii="Verdana" w:hAnsi="Verdana"/>
          <w:sz w:val="20"/>
          <w:szCs w:val="20"/>
        </w:rPr>
        <w:t>Un convenio de cooperación interinstitucional fue suscrito por la Autoridad para el Manejo Sustentable de la Cuenca del Lago de Atitlán y su Entorno -AMSCLAE- y la Asociación del Gremio Químico Agrícola -AGREQUIMA-, con el objetivo de unir esfuerzos para la contribución del desarrollo del cuidado y protección del medio ambiente a través de la implementación de dos programas que garantizarán el manejo adecuado de envases plásticos de productos agrícolas.</w:t>
      </w:r>
    </w:p>
    <w:p w:rsidRPr="00426F06" w:rsidR="00C459EE" w:rsidP="00C459EE" w:rsidRDefault="00C459EE" w14:paraId="38B802CC" w14:textId="77777777">
      <w:pPr>
        <w:jc w:val="both"/>
        <w:rPr>
          <w:rFonts w:ascii="Verdana" w:hAnsi="Verdana"/>
          <w:sz w:val="20"/>
          <w:szCs w:val="20"/>
        </w:rPr>
      </w:pPr>
      <w:r w:rsidRPr="00426F06">
        <w:rPr>
          <w:rFonts w:ascii="Verdana" w:hAnsi="Verdana"/>
          <w:sz w:val="20"/>
          <w:szCs w:val="20"/>
        </w:rPr>
        <w:t xml:space="preserve">Este convenio tiene una vigencia de dos años y tiene como fin, unir esfuerzos institucionales para contribuir a la reducción de la contaminación en la cuenca del lago de Atitlán, a través de los programas </w:t>
      </w:r>
      <w:proofErr w:type="spellStart"/>
      <w:r w:rsidRPr="00426F06">
        <w:rPr>
          <w:rFonts w:ascii="Verdana" w:hAnsi="Verdana"/>
          <w:sz w:val="20"/>
          <w:szCs w:val="20"/>
        </w:rPr>
        <w:t>Campolimpio</w:t>
      </w:r>
      <w:proofErr w:type="spellEnd"/>
      <w:r w:rsidRPr="00426F06">
        <w:rPr>
          <w:rFonts w:ascii="Verdana" w:hAnsi="Verdana"/>
          <w:sz w:val="20"/>
          <w:szCs w:val="20"/>
        </w:rPr>
        <w:t xml:space="preserve"> y </w:t>
      </w:r>
      <w:proofErr w:type="spellStart"/>
      <w:r w:rsidRPr="00426F06">
        <w:rPr>
          <w:rFonts w:ascii="Verdana" w:hAnsi="Verdana"/>
          <w:sz w:val="20"/>
          <w:szCs w:val="20"/>
        </w:rPr>
        <w:t>Cuidagro</w:t>
      </w:r>
      <w:proofErr w:type="spellEnd"/>
      <w:r w:rsidRPr="00426F06">
        <w:rPr>
          <w:rFonts w:ascii="Verdana" w:hAnsi="Verdana"/>
          <w:sz w:val="20"/>
          <w:szCs w:val="20"/>
        </w:rPr>
        <w:t xml:space="preserve"> de AGREQUIMA.</w:t>
      </w:r>
    </w:p>
    <w:p w:rsidRPr="00426F06" w:rsidR="00C459EE" w:rsidP="00C459EE" w:rsidRDefault="00C459EE" w14:paraId="065023DB" w14:textId="77777777">
      <w:pPr>
        <w:jc w:val="both"/>
        <w:rPr>
          <w:rFonts w:ascii="Verdana" w:hAnsi="Verdana"/>
          <w:sz w:val="20"/>
          <w:szCs w:val="20"/>
        </w:rPr>
      </w:pPr>
      <w:r w:rsidRPr="00426F06">
        <w:rPr>
          <w:rFonts w:ascii="Verdana" w:hAnsi="Verdana"/>
          <w:sz w:val="20"/>
          <w:szCs w:val="20"/>
        </w:rPr>
        <w:t>Dichos programas impulsar</w:t>
      </w:r>
      <w:r>
        <w:rPr>
          <w:rFonts w:ascii="Verdana" w:hAnsi="Verdana"/>
          <w:sz w:val="20"/>
          <w:szCs w:val="20"/>
        </w:rPr>
        <w:t>á</w:t>
      </w:r>
      <w:r w:rsidRPr="00426F06">
        <w:rPr>
          <w:rFonts w:ascii="Verdana" w:hAnsi="Verdana"/>
          <w:sz w:val="20"/>
          <w:szCs w:val="20"/>
        </w:rPr>
        <w:t>n en la cuenca, acciones que garanticen un proceso adecuado para la recolección y reciclaje de envases vacíos, utilizados en el campo agrícola y la capacitación en comunidades agrícolas, para la implementación de buenas prácticas que contribuyan al cuidado del medio ambiente desde este importante sector productivo.</w:t>
      </w:r>
    </w:p>
    <w:p w:rsidRPr="00426F06" w:rsidR="00C459EE" w:rsidP="00C459EE" w:rsidRDefault="00C459EE" w14:paraId="4B7C3092" w14:textId="77777777">
      <w:pPr>
        <w:jc w:val="both"/>
        <w:rPr>
          <w:rFonts w:ascii="Verdana" w:hAnsi="Verdana"/>
          <w:sz w:val="20"/>
          <w:szCs w:val="20"/>
        </w:rPr>
      </w:pPr>
      <w:r w:rsidRPr="00426F06">
        <w:rPr>
          <w:rFonts w:ascii="Verdana" w:hAnsi="Verdana"/>
          <w:sz w:val="20"/>
          <w:szCs w:val="20"/>
        </w:rPr>
        <w:t>El Director Ejecutivo de la AMSCLAE, Ing. Pedro Toc Cobox, indicó que este convenio permitirá coordinar acciones estratégicas para el desarrollo de actividades que contribuirán directamente al cuidado y protección de los recursos naturales de la cuenca del Lago de Atitlán.</w:t>
      </w:r>
    </w:p>
    <w:p w:rsidRPr="00426F06" w:rsidR="00C459EE" w:rsidP="00C459EE" w:rsidRDefault="00C459EE" w14:paraId="76602ABA" w14:textId="77777777">
      <w:pPr>
        <w:jc w:val="both"/>
        <w:rPr>
          <w:rFonts w:ascii="Verdana" w:hAnsi="Verdana"/>
          <w:sz w:val="20"/>
          <w:szCs w:val="20"/>
        </w:rPr>
      </w:pPr>
      <w:r w:rsidRPr="00426F06">
        <w:rPr>
          <w:rFonts w:ascii="Verdana" w:hAnsi="Verdana"/>
          <w:sz w:val="20"/>
          <w:szCs w:val="20"/>
        </w:rPr>
        <w:lastRenderedPageBreak/>
        <w:t xml:space="preserve">Por su parte el Lic. Jorge Hernández, director de AGREQUIMA, resaltó la importancia de la firma de convenio, el cual contribuirá de forma directa a la salud humana a través de acciones que implementen prácticas agrícolas en beneficio de la cuenca del lago de Atitlán. </w:t>
      </w:r>
    </w:p>
    <w:p w:rsidRPr="00426F06" w:rsidR="00C459EE" w:rsidP="00C459EE" w:rsidRDefault="00C459EE" w14:paraId="62540BAB" w14:textId="77777777">
      <w:pPr>
        <w:jc w:val="center"/>
        <w:rPr>
          <w:rFonts w:ascii="Verdana" w:hAnsi="Verdana"/>
          <w:sz w:val="20"/>
          <w:szCs w:val="20"/>
        </w:rPr>
      </w:pPr>
      <w:r w:rsidRPr="00426F06">
        <w:rPr>
          <w:rFonts w:ascii="Verdana" w:hAnsi="Verdana"/>
          <w:noProof/>
          <w:sz w:val="20"/>
          <w:szCs w:val="20"/>
        </w:rPr>
        <w:drawing>
          <wp:inline distT="0" distB="0" distL="0" distR="0" wp14:anchorId="783114E4" wp14:editId="0DFB6033">
            <wp:extent cx="1701209" cy="127600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7413" cy="1280656"/>
                    </a:xfrm>
                    <a:prstGeom prst="rect">
                      <a:avLst/>
                    </a:prstGeom>
                    <a:noFill/>
                    <a:ln>
                      <a:noFill/>
                    </a:ln>
                  </pic:spPr>
                </pic:pic>
              </a:graphicData>
            </a:graphic>
          </wp:inline>
        </w:drawing>
      </w:r>
      <w:r w:rsidRPr="00426F06" w:rsidR="00C459EE">
        <w:rPr>
          <w:rFonts w:ascii="Verdana" w:hAnsi="Verdana"/>
          <w:sz w:val="20"/>
          <w:szCs w:val="20"/>
        </w:rPr>
        <w:t xml:space="preserve">    </w:t>
      </w:r>
      <w:r w:rsidRPr="00426F06">
        <w:rPr>
          <w:rFonts w:ascii="Verdana" w:hAnsi="Verdana"/>
          <w:noProof/>
          <w:sz w:val="20"/>
          <w:szCs w:val="20"/>
        </w:rPr>
        <w:drawing>
          <wp:inline distT="0" distB="0" distL="0" distR="0" wp14:anchorId="7FA63142" wp14:editId="25BC9BAD">
            <wp:extent cx="1637414" cy="1283598"/>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96" t="2589"/>
                    <a:stretch/>
                  </pic:blipFill>
                  <pic:spPr bwMode="auto">
                    <a:xfrm>
                      <a:off x="0" y="0"/>
                      <a:ext cx="1651926" cy="1294975"/>
                    </a:xfrm>
                    <a:prstGeom prst="rect">
                      <a:avLst/>
                    </a:prstGeom>
                    <a:noFill/>
                    <a:ln>
                      <a:noFill/>
                    </a:ln>
                    <a:extLst>
                      <a:ext uri="{53640926-AAD7-44D8-BBD7-CCE9431645EC}">
                        <a14:shadowObscured xmlns:a14="http://schemas.microsoft.com/office/drawing/2010/main"/>
                      </a:ext>
                    </a:extLst>
                  </pic:spPr>
                </pic:pic>
              </a:graphicData>
            </a:graphic>
          </wp:inline>
        </w:drawing>
      </w:r>
    </w:p>
    <w:p w:rsidRPr="00426F06" w:rsidR="00C459EE" w:rsidP="00C459EE" w:rsidRDefault="00C459EE" w14:paraId="4D5080C1" w14:textId="77777777">
      <w:pPr>
        <w:rPr>
          <w:rFonts w:ascii="Verdana" w:hAnsi="Verdana"/>
          <w:sz w:val="20"/>
          <w:szCs w:val="20"/>
          <w:lang w:val="es-419"/>
        </w:rPr>
      </w:pPr>
      <w:r w:rsidRPr="00426F06">
        <w:rPr>
          <w:rFonts w:ascii="Verdana" w:hAnsi="Verdana"/>
          <w:b/>
          <w:bCs/>
          <w:sz w:val="20"/>
          <w:szCs w:val="20"/>
        </w:rPr>
        <w:t>AMSCLAE y MAGA firman Plan de Trabajo para la Conservación de los Recursos Ecosistémicos de la Cuenca del Lago de Atitlán</w:t>
      </w:r>
    </w:p>
    <w:p w:rsidRPr="00426F06" w:rsidR="00C459EE" w:rsidP="00C459EE" w:rsidRDefault="00C459EE" w14:paraId="24683997" w14:textId="77777777">
      <w:pPr>
        <w:jc w:val="both"/>
        <w:rPr>
          <w:rFonts w:ascii="Verdana" w:hAnsi="Verdana"/>
          <w:sz w:val="20"/>
          <w:szCs w:val="20"/>
          <w:lang w:val="es-419"/>
        </w:rPr>
      </w:pPr>
      <w:r w:rsidRPr="00426F06">
        <w:rPr>
          <w:rFonts w:ascii="Verdana" w:hAnsi="Verdana"/>
          <w:sz w:val="20"/>
          <w:szCs w:val="20"/>
          <w:lang w:val="es-419"/>
        </w:rPr>
        <w:t>Con el objetivo de coordinar actividades productivas sostenibles en búsqueda del desarrollo rural integral y fortalecer la conservación de los recursos ecosistémicos de la Cuenca del Lago de Atitlán, la Autoridad para el Manejo Sustentable de la Cuenca del Lago de Atitlán y su Entorno -AMSCLAE- y el Ministerio de Agricultura Ganadería y Alimentación -MAGA-, con sede departamental de Sololá, firmaron el plan de trabajo para la coordinación interinstitucional,</w:t>
      </w:r>
      <w:r w:rsidRPr="00426F06">
        <w:rPr>
          <w:rFonts w:ascii="Verdana" w:hAnsi="Verdana"/>
          <w:sz w:val="20"/>
          <w:szCs w:val="20"/>
        </w:rPr>
        <w:t xml:space="preserve"> el cual fue suscrito por el </w:t>
      </w:r>
      <w:r w:rsidRPr="00426F06">
        <w:rPr>
          <w:rFonts w:ascii="Verdana" w:hAnsi="Verdana"/>
          <w:sz w:val="20"/>
          <w:szCs w:val="20"/>
          <w:lang w:val="es-419"/>
        </w:rPr>
        <w:t xml:space="preserve">Director Ejecutivo de la AMSCLAE, Ing. Pedro Geovanni Toc Cobox y el jefe Departamental del MAGA, Ing. </w:t>
      </w:r>
      <w:proofErr w:type="spellStart"/>
      <w:r w:rsidRPr="00426F06">
        <w:rPr>
          <w:rFonts w:ascii="Verdana" w:hAnsi="Verdana"/>
          <w:sz w:val="20"/>
          <w:szCs w:val="20"/>
          <w:lang w:val="es-419"/>
        </w:rPr>
        <w:t>Felix</w:t>
      </w:r>
      <w:proofErr w:type="spellEnd"/>
      <w:r w:rsidRPr="00426F06">
        <w:rPr>
          <w:rFonts w:ascii="Verdana" w:hAnsi="Verdana"/>
          <w:sz w:val="20"/>
          <w:szCs w:val="20"/>
          <w:lang w:val="es-419"/>
        </w:rPr>
        <w:t xml:space="preserve"> López </w:t>
      </w:r>
      <w:proofErr w:type="spellStart"/>
      <w:r w:rsidRPr="00426F06">
        <w:rPr>
          <w:rFonts w:ascii="Verdana" w:hAnsi="Verdana"/>
          <w:sz w:val="20"/>
          <w:szCs w:val="20"/>
          <w:lang w:val="es-419"/>
        </w:rPr>
        <w:t>Borón</w:t>
      </w:r>
      <w:proofErr w:type="spellEnd"/>
      <w:r w:rsidRPr="00426F06">
        <w:rPr>
          <w:rFonts w:ascii="Verdana" w:hAnsi="Verdana"/>
          <w:sz w:val="20"/>
          <w:szCs w:val="20"/>
          <w:lang w:val="es-419"/>
        </w:rPr>
        <w:t>.</w:t>
      </w:r>
    </w:p>
    <w:p w:rsidRPr="00426F06" w:rsidR="00C459EE" w:rsidP="00C459EE" w:rsidRDefault="00C459EE" w14:paraId="4D7628A7" w14:textId="77777777">
      <w:pPr>
        <w:jc w:val="both"/>
        <w:rPr>
          <w:rFonts w:ascii="Verdana" w:hAnsi="Verdana"/>
          <w:sz w:val="20"/>
          <w:szCs w:val="20"/>
          <w:lang w:val="es-419"/>
        </w:rPr>
      </w:pPr>
      <w:r w:rsidRPr="00426F06">
        <w:rPr>
          <w:rFonts w:ascii="Verdana" w:hAnsi="Verdana"/>
          <w:sz w:val="20"/>
          <w:szCs w:val="20"/>
          <w:lang w:val="es-419"/>
        </w:rPr>
        <w:t>El plan incluye dentro de sus ejes de trabajo, programas de reforestación, fortalecimiento a viveros comunitarios y municipales, sistemas agroforestales, conservación de suelos, elaboración de abonos orgánicos, todos estos enfocados a la protección de los suelos y el aumento de la cobertura forestal en las zonas de recarga hídrica de la cuenca.</w:t>
      </w:r>
    </w:p>
    <w:p w:rsidRPr="00426F06" w:rsidR="00C459EE" w:rsidP="00C459EE" w:rsidRDefault="00C459EE" w14:paraId="49025D7E" w14:textId="77777777">
      <w:pPr>
        <w:jc w:val="center"/>
        <w:rPr>
          <w:rFonts w:ascii="Verdana" w:hAnsi="Verdana"/>
          <w:sz w:val="20"/>
          <w:szCs w:val="20"/>
          <w:lang w:val="es-419"/>
        </w:rPr>
      </w:pPr>
      <w:r w:rsidR="00C459EE">
        <w:drawing>
          <wp:inline wp14:editId="6E9F1A98" wp14:anchorId="4FAD0880">
            <wp:extent cx="1636705" cy="1345587"/>
            <wp:effectExtent l="0" t="0" r="1905" b="6985"/>
            <wp:docPr id="19" name="Imagen 19" title=""/>
            <wp:cNvGraphicFramePr>
              <a:graphicFrameLocks noChangeAspect="1"/>
            </wp:cNvGraphicFramePr>
            <a:graphic>
              <a:graphicData uri="http://schemas.openxmlformats.org/drawingml/2006/picture">
                <pic:pic>
                  <pic:nvPicPr>
                    <pic:cNvPr id="0" name="Imagen 19"/>
                    <pic:cNvPicPr/>
                  </pic:nvPicPr>
                  <pic:blipFill>
                    <a:blip r:embed="R2ba648418f3740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36705" cy="1345587"/>
                    </a:xfrm>
                    <a:prstGeom prst="rect">
                      <a:avLst/>
                    </a:prstGeom>
                  </pic:spPr>
                </pic:pic>
              </a:graphicData>
            </a:graphic>
          </wp:inline>
        </w:drawing>
      </w:r>
      <w:r w:rsidRPr="5DAC0B5F" w:rsidR="2257A5A8">
        <w:rPr>
          <w:rFonts w:ascii="Verdana" w:hAnsi="Verdana"/>
          <w:sz w:val="20"/>
          <w:szCs w:val="20"/>
          <w:lang w:val="es-419"/>
        </w:rPr>
        <w:t xml:space="preserve">  </w:t>
      </w:r>
      <w:r w:rsidR="00C459EE">
        <w:drawing>
          <wp:inline wp14:editId="78DF5E12" wp14:anchorId="7BA4B74D">
            <wp:extent cx="1733107" cy="1357385"/>
            <wp:effectExtent l="0" t="0" r="635" b="0"/>
            <wp:docPr id="2" name="Imagen 2" title=""/>
            <wp:cNvGraphicFramePr>
              <a:graphicFrameLocks noChangeAspect="1"/>
            </wp:cNvGraphicFramePr>
            <a:graphic>
              <a:graphicData uri="http://schemas.openxmlformats.org/drawingml/2006/picture">
                <pic:pic>
                  <pic:nvPicPr>
                    <pic:cNvPr id="0" name="Imagen 2"/>
                    <pic:cNvPicPr/>
                  </pic:nvPicPr>
                  <pic:blipFill>
                    <a:blip r:embed="Rd6dc3061b5a743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33107" cy="1357385"/>
                    </a:xfrm>
                    <a:prstGeom prst="rect">
                      <a:avLst/>
                    </a:prstGeom>
                  </pic:spPr>
                </pic:pic>
              </a:graphicData>
            </a:graphic>
          </wp:inline>
        </w:drawing>
      </w:r>
      <w:r w:rsidRPr="5DAC0B5F" w:rsidR="2257A5A8">
        <w:rPr>
          <w:rFonts w:ascii="Verdana" w:hAnsi="Verdana"/>
          <w:sz w:val="20"/>
          <w:szCs w:val="20"/>
          <w:lang w:val="es-419"/>
        </w:rPr>
        <w:t xml:space="preserve">  </w:t>
      </w:r>
      <w:r w:rsidR="00C459EE">
        <w:drawing>
          <wp:inline wp14:editId="0C57DAB2" wp14:anchorId="4FC8C271">
            <wp:extent cx="1669312" cy="1337451"/>
            <wp:effectExtent l="0" t="0" r="7620" b="0"/>
            <wp:docPr id="28" name="Imagen 28" title=""/>
            <wp:cNvGraphicFramePr>
              <a:graphicFrameLocks noChangeAspect="1"/>
            </wp:cNvGraphicFramePr>
            <a:graphic>
              <a:graphicData uri="http://schemas.openxmlformats.org/drawingml/2006/picture">
                <pic:pic>
                  <pic:nvPicPr>
                    <pic:cNvPr id="0" name="Imagen 28"/>
                    <pic:cNvPicPr/>
                  </pic:nvPicPr>
                  <pic:blipFill>
                    <a:blip r:embed="R8f83cea7c9434c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69312" cy="1337451"/>
                    </a:xfrm>
                    <a:prstGeom prst="rect">
                      <a:avLst/>
                    </a:prstGeom>
                  </pic:spPr>
                </pic:pic>
              </a:graphicData>
            </a:graphic>
          </wp:inline>
        </w:drawing>
      </w:r>
    </w:p>
    <w:p w:rsidRPr="00426F06" w:rsidR="00C459EE" w:rsidP="00C459EE" w:rsidRDefault="00C459EE" w14:paraId="7AC987E8" w14:textId="77777777">
      <w:pPr>
        <w:jc w:val="both"/>
        <w:rPr>
          <w:rFonts w:ascii="Verdana" w:hAnsi="Verdana"/>
          <w:b/>
          <w:bCs/>
          <w:sz w:val="20"/>
          <w:szCs w:val="20"/>
        </w:rPr>
      </w:pPr>
      <w:r w:rsidRPr="00426F06">
        <w:rPr>
          <w:rFonts w:ascii="Verdana" w:hAnsi="Verdana"/>
          <w:b/>
          <w:bCs/>
          <w:sz w:val="20"/>
          <w:szCs w:val="20"/>
        </w:rPr>
        <w:t xml:space="preserve">Recolección de semillas nativas de la Cuenca de Atitlán </w:t>
      </w:r>
    </w:p>
    <w:p w:rsidRPr="00426F06" w:rsidR="00C459EE" w:rsidP="00C459EE" w:rsidRDefault="00C459EE" w14:paraId="206FC705" w14:textId="77777777">
      <w:pPr>
        <w:jc w:val="both"/>
        <w:rPr>
          <w:rFonts w:ascii="Verdana" w:hAnsi="Verdana"/>
          <w:sz w:val="20"/>
          <w:szCs w:val="20"/>
        </w:rPr>
      </w:pPr>
      <w:r w:rsidRPr="00426F06">
        <w:rPr>
          <w:rFonts w:ascii="Verdana" w:hAnsi="Verdana"/>
          <w:sz w:val="20"/>
          <w:szCs w:val="20"/>
        </w:rPr>
        <w:t>Con el objetivo contribuir a la cobertura forestal de la cuenca del lago de Atitlán e incrementar las especies nativas</w:t>
      </w:r>
      <w:r w:rsidRPr="00426F06">
        <w:rPr>
          <w:rFonts w:ascii="Verdana" w:hAnsi="Verdana"/>
          <w:sz w:val="20"/>
          <w:szCs w:val="20"/>
          <w:lang w:val="es-419"/>
        </w:rPr>
        <w:t xml:space="preserve"> del área</w:t>
      </w:r>
      <w:r w:rsidRPr="00426F06">
        <w:rPr>
          <w:rFonts w:ascii="Verdana" w:hAnsi="Verdana"/>
          <w:sz w:val="20"/>
          <w:szCs w:val="20"/>
        </w:rPr>
        <w:t>, técnicos del Departamento de Agrícola Forestal de la AMSCLAE, realizaron una jornada de recolección de semillas en el municipio de San José Chacayá.</w:t>
      </w:r>
    </w:p>
    <w:p w:rsidRPr="00426F06" w:rsidR="00C459EE" w:rsidP="00C459EE" w:rsidRDefault="00C459EE" w14:paraId="7B32C87B" w14:textId="77777777">
      <w:pPr>
        <w:jc w:val="both"/>
        <w:rPr>
          <w:rFonts w:ascii="Verdana" w:hAnsi="Verdana"/>
          <w:sz w:val="20"/>
          <w:szCs w:val="20"/>
          <w:lang w:val="es-419"/>
        </w:rPr>
      </w:pPr>
      <w:r w:rsidRPr="00426F06">
        <w:rPr>
          <w:rFonts w:ascii="Verdana" w:hAnsi="Verdana"/>
          <w:sz w:val="20"/>
          <w:szCs w:val="20"/>
        </w:rPr>
        <w:lastRenderedPageBreak/>
        <w:t xml:space="preserve">Durante la actividad se recolectaron 700 esquejes de sauce y 600 bellotas de encino, las cuales serán trasladadas al vivero de la AMSCLAE para su reproducción, </w:t>
      </w:r>
      <w:r w:rsidRPr="00426F06">
        <w:rPr>
          <w:rFonts w:ascii="Verdana" w:hAnsi="Verdana"/>
          <w:sz w:val="20"/>
          <w:szCs w:val="20"/>
          <w:lang w:val="es-419"/>
        </w:rPr>
        <w:t xml:space="preserve">estas acciones </w:t>
      </w:r>
      <w:r w:rsidRPr="00426F06">
        <w:rPr>
          <w:rFonts w:ascii="Verdana" w:hAnsi="Verdana"/>
          <w:sz w:val="20"/>
          <w:szCs w:val="20"/>
        </w:rPr>
        <w:t>contribuye</w:t>
      </w:r>
      <w:r w:rsidRPr="00426F06">
        <w:rPr>
          <w:rFonts w:ascii="Verdana" w:hAnsi="Verdana"/>
          <w:sz w:val="20"/>
          <w:szCs w:val="20"/>
          <w:lang w:val="es-419"/>
        </w:rPr>
        <w:t xml:space="preserve">n a </w:t>
      </w:r>
      <w:r w:rsidRPr="00426F06">
        <w:rPr>
          <w:rFonts w:ascii="Verdana" w:hAnsi="Verdana"/>
          <w:sz w:val="20"/>
          <w:szCs w:val="20"/>
        </w:rPr>
        <w:t>la conservación</w:t>
      </w:r>
      <w:r w:rsidRPr="00426F06">
        <w:rPr>
          <w:rFonts w:ascii="Verdana" w:hAnsi="Verdana"/>
          <w:sz w:val="20"/>
          <w:szCs w:val="20"/>
          <w:lang w:val="es-419"/>
        </w:rPr>
        <w:t xml:space="preserve"> y manejo</w:t>
      </w:r>
      <w:r w:rsidRPr="00426F06">
        <w:rPr>
          <w:rFonts w:ascii="Verdana" w:hAnsi="Verdana"/>
          <w:sz w:val="20"/>
          <w:szCs w:val="20"/>
        </w:rPr>
        <w:t xml:space="preserve"> de suelos, incremento de la cobertura vegetal y la recarga hídrica</w:t>
      </w:r>
      <w:r w:rsidRPr="00426F06">
        <w:rPr>
          <w:rFonts w:ascii="Verdana" w:hAnsi="Verdana"/>
          <w:sz w:val="20"/>
          <w:szCs w:val="20"/>
          <w:lang w:val="es-419"/>
        </w:rPr>
        <w:t xml:space="preserve"> de la </w:t>
      </w:r>
      <w:r w:rsidRPr="00426F06">
        <w:rPr>
          <w:rFonts w:ascii="Verdana" w:hAnsi="Verdana"/>
          <w:sz w:val="20"/>
          <w:szCs w:val="20"/>
        </w:rPr>
        <w:t>Cuenca de lago Atitlán</w:t>
      </w:r>
      <w:r w:rsidRPr="00426F06">
        <w:rPr>
          <w:rFonts w:ascii="Verdana" w:hAnsi="Verdana"/>
          <w:sz w:val="20"/>
          <w:szCs w:val="20"/>
          <w:lang w:val="es-419"/>
        </w:rPr>
        <w:t>.</w:t>
      </w:r>
    </w:p>
    <w:p w:rsidRPr="00426F06" w:rsidR="00C459EE" w:rsidP="00C459EE" w:rsidRDefault="00C459EE" w14:paraId="66420354" w14:textId="77777777">
      <w:pPr>
        <w:jc w:val="both"/>
        <w:rPr>
          <w:rFonts w:ascii="Verdana" w:hAnsi="Verdana"/>
          <w:sz w:val="20"/>
          <w:szCs w:val="20"/>
          <w:lang w:val="es-419"/>
        </w:rPr>
      </w:pPr>
      <w:r w:rsidRPr="00426F06">
        <w:rPr>
          <w:rFonts w:ascii="Verdana" w:hAnsi="Verdana"/>
          <w:sz w:val="20"/>
          <w:szCs w:val="20"/>
          <w:lang w:val="es-419"/>
        </w:rPr>
        <w:t>Estas</w:t>
      </w:r>
      <w:r w:rsidRPr="00426F06">
        <w:rPr>
          <w:rFonts w:ascii="Verdana" w:hAnsi="Verdana"/>
          <w:sz w:val="20"/>
          <w:szCs w:val="20"/>
        </w:rPr>
        <w:t xml:space="preserve"> prácticas agrícolas sostenibles, son impulsadas por la AMSCLAE </w:t>
      </w:r>
      <w:r w:rsidRPr="00426F06">
        <w:rPr>
          <w:rFonts w:ascii="Verdana" w:hAnsi="Verdana"/>
          <w:sz w:val="20"/>
          <w:szCs w:val="20"/>
          <w:lang w:val="es-419"/>
        </w:rPr>
        <w:t xml:space="preserve">en beneficio de la calidad y salud del lago de Atitlán, a través del fortalecimiento de los ecosistemas que contribuyen al equilibrio ambiental de la cuenca. </w:t>
      </w:r>
    </w:p>
    <w:p w:rsidRPr="00426F06" w:rsidR="00C459EE" w:rsidP="00C459EE" w:rsidRDefault="00C459EE" w14:paraId="0D86960B" w14:textId="77777777">
      <w:pPr>
        <w:jc w:val="center"/>
        <w:rPr>
          <w:rFonts w:ascii="Verdana" w:hAnsi="Verdana"/>
          <w:sz w:val="20"/>
          <w:szCs w:val="20"/>
          <w:lang w:val="es-419"/>
        </w:rPr>
      </w:pPr>
      <w:r w:rsidR="00C459EE">
        <w:drawing>
          <wp:inline wp14:editId="2A398469" wp14:anchorId="7B87EB1E">
            <wp:extent cx="1638441" cy="1092665"/>
            <wp:effectExtent l="0" t="0" r="0" b="0"/>
            <wp:docPr id="38" name="Imagen 38" title=""/>
            <wp:cNvGraphicFramePr>
              <a:graphicFrameLocks noChangeAspect="1"/>
            </wp:cNvGraphicFramePr>
            <a:graphic>
              <a:graphicData uri="http://schemas.openxmlformats.org/drawingml/2006/picture">
                <pic:pic>
                  <pic:nvPicPr>
                    <pic:cNvPr id="0" name="Imagen 38"/>
                    <pic:cNvPicPr/>
                  </pic:nvPicPr>
                  <pic:blipFill>
                    <a:blip r:embed="R0d5694d655a545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38441" cy="1092665"/>
                    </a:xfrm>
                    <a:prstGeom prst="rect">
                      <a:avLst/>
                    </a:prstGeom>
                  </pic:spPr>
                </pic:pic>
              </a:graphicData>
            </a:graphic>
          </wp:inline>
        </w:drawing>
      </w:r>
      <w:r w:rsidRPr="5DAC0B5F" w:rsidR="2257A5A8">
        <w:rPr>
          <w:rFonts w:ascii="Verdana" w:hAnsi="Verdana"/>
          <w:sz w:val="20"/>
          <w:szCs w:val="20"/>
          <w:lang w:val="es-419"/>
        </w:rPr>
        <w:t xml:space="preserve">  </w:t>
      </w:r>
      <w:r w:rsidR="00C459EE">
        <w:drawing>
          <wp:inline wp14:editId="3A5FF904" wp14:anchorId="31D03BF9">
            <wp:extent cx="1659794" cy="1106905"/>
            <wp:effectExtent l="0" t="0" r="0" b="0"/>
            <wp:docPr id="39" name="Imagen 39" title=""/>
            <wp:cNvGraphicFramePr>
              <a:graphicFrameLocks noChangeAspect="1"/>
            </wp:cNvGraphicFramePr>
            <a:graphic>
              <a:graphicData uri="http://schemas.openxmlformats.org/drawingml/2006/picture">
                <pic:pic>
                  <pic:nvPicPr>
                    <pic:cNvPr id="0" name="Imagen 39"/>
                    <pic:cNvPicPr/>
                  </pic:nvPicPr>
                  <pic:blipFill>
                    <a:blip r:embed="R336a8ca3d54744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9794" cy="1106905"/>
                    </a:xfrm>
                    <a:prstGeom prst="rect">
                      <a:avLst/>
                    </a:prstGeom>
                  </pic:spPr>
                </pic:pic>
              </a:graphicData>
            </a:graphic>
          </wp:inline>
        </w:drawing>
      </w:r>
      <w:r w:rsidRPr="5DAC0B5F" w:rsidR="2257A5A8">
        <w:rPr>
          <w:rFonts w:ascii="Verdana" w:hAnsi="Verdana"/>
          <w:sz w:val="20"/>
          <w:szCs w:val="20"/>
          <w:lang w:val="es-419"/>
        </w:rPr>
        <w:t xml:space="preserve"> </w:t>
      </w:r>
      <w:r w:rsidR="00C459EE">
        <w:drawing>
          <wp:inline wp14:editId="053050CD" wp14:anchorId="4A16BBBD">
            <wp:extent cx="1651379" cy="1101293"/>
            <wp:effectExtent l="0" t="0" r="6350" b="3810"/>
            <wp:docPr id="40" name="Imagen 40" title=""/>
            <wp:cNvGraphicFramePr>
              <a:graphicFrameLocks noChangeAspect="1"/>
            </wp:cNvGraphicFramePr>
            <a:graphic>
              <a:graphicData uri="http://schemas.openxmlformats.org/drawingml/2006/picture">
                <pic:pic>
                  <pic:nvPicPr>
                    <pic:cNvPr id="0" name="Imagen 40"/>
                    <pic:cNvPicPr/>
                  </pic:nvPicPr>
                  <pic:blipFill>
                    <a:blip r:embed="Rc4047b56649646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1379" cy="1101293"/>
                    </a:xfrm>
                    <a:prstGeom prst="rect">
                      <a:avLst/>
                    </a:prstGeom>
                  </pic:spPr>
                </pic:pic>
              </a:graphicData>
            </a:graphic>
          </wp:inline>
        </w:drawing>
      </w:r>
    </w:p>
    <w:p w:rsidR="006306A4" w:rsidP="006375BF" w:rsidRDefault="006306A4" w14:paraId="3D25D64D" w14:textId="77777777">
      <w:pPr>
        <w:pStyle w:val="Sinespaciado"/>
        <w:ind w:left="-644" w:right="-660"/>
        <w:rPr>
          <w:rFonts w:ascii="Verdana" w:hAnsi="Verdana" w:cs="Arial"/>
          <w:sz w:val="20"/>
          <w:szCs w:val="20"/>
        </w:rPr>
      </w:pPr>
      <w:r>
        <w:rPr>
          <w:rFonts w:ascii="Verdana" w:hAnsi="Verdana" w:cs="Arial"/>
          <w:sz w:val="20"/>
          <w:szCs w:val="20"/>
        </w:rPr>
        <w:tab/>
      </w:r>
    </w:p>
    <w:p w:rsidRPr="006306A4" w:rsidR="005F67D2" w:rsidP="006306A4" w:rsidRDefault="006306A4" w14:paraId="1E99812D" w14:textId="22E16D2B">
      <w:pPr>
        <w:pStyle w:val="Sinespaciado"/>
        <w:ind w:left="-644" w:right="-660" w:firstLine="644"/>
        <w:rPr>
          <w:rFonts w:ascii="Verdana" w:hAnsi="Verdana" w:cs="Arial"/>
          <w:b/>
          <w:bCs/>
          <w:sz w:val="20"/>
          <w:szCs w:val="20"/>
        </w:rPr>
      </w:pPr>
      <w:r w:rsidRPr="006306A4">
        <w:rPr>
          <w:rFonts w:ascii="Verdana" w:hAnsi="Verdana" w:cs="Arial"/>
          <w:b/>
          <w:bCs/>
          <w:sz w:val="20"/>
          <w:szCs w:val="20"/>
        </w:rPr>
        <w:t>OTRAS INTERVENCIONES:</w:t>
      </w:r>
    </w:p>
    <w:p w:rsidR="006306A4" w:rsidP="006375BF" w:rsidRDefault="006306A4" w14:paraId="57DB2B9A" w14:textId="77777777">
      <w:pPr>
        <w:pStyle w:val="Sinespaciado"/>
        <w:ind w:left="-644" w:right="-660"/>
        <w:rPr>
          <w:rFonts w:ascii="Verdana" w:hAnsi="Verdana" w:cs="Arial"/>
          <w:sz w:val="20"/>
          <w:szCs w:val="20"/>
        </w:rPr>
      </w:pPr>
    </w:p>
    <w:p w:rsidR="006306A4" w:rsidP="006306A4" w:rsidRDefault="006306A4" w14:paraId="0EAE5E1B" w14:textId="77777777">
      <w:pPr>
        <w:pStyle w:val="Prrafodelista"/>
        <w:numPr>
          <w:ilvl w:val="0"/>
          <w:numId w:val="35"/>
        </w:numPr>
        <w:spacing w:line="256" w:lineRule="auto"/>
        <w:jc w:val="both"/>
      </w:pPr>
      <w:r>
        <w:t xml:space="preserve">Visita de identificación de áreas potenciales a reforestación en coordinación con el MAGA. </w:t>
      </w:r>
    </w:p>
    <w:p w:rsidR="006306A4" w:rsidP="006306A4" w:rsidRDefault="006306A4" w14:paraId="525CD7CC" w14:textId="77777777">
      <w:pPr>
        <w:pStyle w:val="Prrafodelista"/>
        <w:numPr>
          <w:ilvl w:val="0"/>
          <w:numId w:val="35"/>
        </w:numPr>
        <w:spacing w:line="256" w:lineRule="auto"/>
        <w:jc w:val="both"/>
      </w:pPr>
      <w:r>
        <w:t xml:space="preserve">Seguimiento a procesos de adhesión de proyectos PROBOSQUE con alcaldía de </w:t>
      </w:r>
      <w:proofErr w:type="spellStart"/>
      <w:r>
        <w:t>Barreneché</w:t>
      </w:r>
      <w:proofErr w:type="spellEnd"/>
      <w:r>
        <w:t xml:space="preserve">, Totonicapán. </w:t>
      </w:r>
    </w:p>
    <w:p w:rsidR="009754EB" w:rsidP="006375BF" w:rsidRDefault="009754EB" w14:paraId="055F30AA" w14:textId="77777777">
      <w:pPr>
        <w:pStyle w:val="Sinespaciado"/>
        <w:ind w:left="-644" w:right="-660"/>
        <w:rPr>
          <w:rFonts w:ascii="Verdana" w:hAnsi="Verdana" w:cs="Arial"/>
          <w:sz w:val="20"/>
          <w:szCs w:val="20"/>
        </w:rPr>
      </w:pPr>
    </w:p>
    <w:p w:rsidRPr="0029185C" w:rsidR="006375BF" w:rsidP="006375BF" w:rsidRDefault="006375BF" w14:paraId="0535B61B" w14:textId="321537A0">
      <w:pPr>
        <w:pStyle w:val="Sinespaciado"/>
        <w:ind w:left="-644" w:right="-660"/>
        <w:rPr>
          <w:rFonts w:ascii="Verdana" w:hAnsi="Verdana" w:cs="Arial"/>
          <w:b/>
          <w:bCs/>
          <w:sz w:val="20"/>
          <w:szCs w:val="20"/>
        </w:rPr>
      </w:pPr>
      <w:r w:rsidRPr="006306A4">
        <w:rPr>
          <w:rFonts w:ascii="Verdana" w:hAnsi="Verdana" w:cs="Arial"/>
          <w:b/>
          <w:bCs/>
          <w:sz w:val="20"/>
          <w:szCs w:val="20"/>
        </w:rPr>
        <w:t>COMPONENTE DE EDUCACIÓN AMBIENTA</w:t>
      </w:r>
      <w:r w:rsidRPr="006306A4" w:rsidR="00264CBD">
        <w:rPr>
          <w:rFonts w:ascii="Verdana" w:hAnsi="Verdana" w:cs="Arial"/>
          <w:b/>
          <w:bCs/>
          <w:sz w:val="20"/>
          <w:szCs w:val="20"/>
        </w:rPr>
        <w:t>L</w:t>
      </w:r>
    </w:p>
    <w:p w:rsidRPr="00E63943" w:rsidR="00B2271A" w:rsidP="00E63943" w:rsidRDefault="00DC3416" w14:paraId="6835B0B1" w14:textId="31334516">
      <w:pPr>
        <w:pStyle w:val="04xlpa"/>
        <w:jc w:val="both"/>
        <w:rPr>
          <w:rFonts w:ascii="Verdana" w:hAnsi="Verdana" w:cs="Arial"/>
          <w:b/>
          <w:bCs/>
          <w:color w:val="000000" w:themeColor="text1"/>
          <w:spacing w:val="-13"/>
          <w:sz w:val="20"/>
          <w:szCs w:val="20"/>
          <w:lang w:val="es-419"/>
        </w:rPr>
      </w:pPr>
      <w:r>
        <w:rPr>
          <w:noProof/>
        </w:rPr>
        <w:drawing>
          <wp:anchor distT="0" distB="0" distL="114300" distR="114300" simplePos="0" relativeHeight="251712512" behindDoc="1" locked="0" layoutInCell="1" allowOverlap="1" wp14:anchorId="40735613" wp14:editId="6B64C2F2">
            <wp:simplePos x="0" y="0"/>
            <wp:positionH relativeFrom="column">
              <wp:posOffset>4219575</wp:posOffset>
            </wp:positionH>
            <wp:positionV relativeFrom="paragraph">
              <wp:posOffset>627380</wp:posOffset>
            </wp:positionV>
            <wp:extent cx="1419225" cy="1064379"/>
            <wp:effectExtent l="0" t="0" r="0" b="2540"/>
            <wp:wrapTight wrapText="bothSides">
              <wp:wrapPolygon edited="0">
                <wp:start x="0" y="0"/>
                <wp:lineTo x="0" y="21265"/>
                <wp:lineTo x="21165" y="21265"/>
                <wp:lineTo x="2116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9225" cy="1064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943" w:rsidR="00B2271A">
        <w:rPr>
          <w:rFonts w:ascii="Verdana" w:hAnsi="Verdana" w:cs="Arial"/>
          <w:b w:val="1"/>
          <w:bCs w:val="1"/>
          <w:color w:val="000000" w:themeColor="text1"/>
          <w:spacing w:val="-13"/>
          <w:sz w:val="20"/>
          <w:szCs w:val="20"/>
          <w:lang w:val="es-419"/>
        </w:rPr>
        <w:t>Voces por el Lago Atitlán imparte Educación Ambiental a población de la cuenca del lago de Atitlán</w:t>
      </w:r>
    </w:p>
    <w:p w:rsidRPr="00E63943" w:rsidR="00DC3416" w:rsidP="00E63943" w:rsidRDefault="00B2271A" w14:paraId="666E1FBC" w14:textId="16EE2680">
      <w:pPr>
        <w:pStyle w:val="04xlpa"/>
        <w:jc w:val="both"/>
        <w:rPr>
          <w:rFonts w:ascii="Verdana" w:hAnsi="Verdana" w:cs="Arial"/>
          <w:color w:val="000000" w:themeColor="text1"/>
          <w:spacing w:val="-13"/>
          <w:sz w:val="20"/>
          <w:szCs w:val="20"/>
          <w:lang w:val="es-419"/>
        </w:rPr>
      </w:pPr>
      <w:r w:rsidRPr="00E63943">
        <w:rPr>
          <w:rFonts w:ascii="Verdana" w:hAnsi="Verdana" w:cs="Arial"/>
          <w:color w:val="000000" w:themeColor="text1"/>
          <w:spacing w:val="-13"/>
          <w:sz w:val="20"/>
          <w:szCs w:val="20"/>
          <w:lang w:val="es-419"/>
        </w:rPr>
        <w:t xml:space="preserve">Con el objetivo de generar conciencia en la población para la conservación y manejo integrado de la cuenca del lago de Atitlán,  el Departamento de Educación Ambiental ha realizado 4 programas radiales denominados “Voces por el Lago Atitlán”,  para fortalecer el conocimiento ambiental en la población, a través de entrevistas con expertos y técnicos ambientales, esto se difundió a través de Radio Sololá, que tiene una cobertura en todos municipios de la cuenca de Atitlán, con un alcance de 150,000 mil personas aproximadamente.  </w:t>
      </w:r>
    </w:p>
    <w:p w:rsidRPr="00E63943" w:rsidR="001B59FD" w:rsidP="00E63943" w:rsidRDefault="001B59FD" w14:paraId="620596B2" w14:textId="2A4DDE30">
      <w:pPr>
        <w:pStyle w:val="04xlpa"/>
        <w:jc w:val="both"/>
        <w:rPr>
          <w:rFonts w:ascii="Verdana" w:hAnsi="Verdana" w:cs="Arial"/>
          <w:b/>
          <w:bCs/>
          <w:color w:val="000000" w:themeColor="text1"/>
          <w:spacing w:val="-13"/>
          <w:sz w:val="20"/>
          <w:szCs w:val="20"/>
          <w:lang w:val="es-419"/>
        </w:rPr>
      </w:pPr>
      <w:r w:rsidRPr="00E63943">
        <w:rPr>
          <w:rFonts w:ascii="Verdana" w:hAnsi="Verdana" w:cs="Arial"/>
          <w:b/>
          <w:bCs/>
          <w:color w:val="000000" w:themeColor="text1"/>
          <w:spacing w:val="-13"/>
          <w:sz w:val="20"/>
          <w:szCs w:val="20"/>
          <w:lang w:val="es-419"/>
        </w:rPr>
        <w:t xml:space="preserve">AMSCLAE capacita a </w:t>
      </w:r>
      <w:r w:rsidRPr="00E63943" w:rsidR="006306A4">
        <w:rPr>
          <w:rFonts w:ascii="Verdana" w:hAnsi="Verdana" w:cs="Arial"/>
          <w:b/>
          <w:bCs/>
          <w:color w:val="000000" w:themeColor="text1"/>
          <w:spacing w:val="-13"/>
          <w:sz w:val="20"/>
          <w:szCs w:val="20"/>
          <w:lang w:val="es-419"/>
        </w:rPr>
        <w:t>líderes</w:t>
      </w:r>
      <w:r w:rsidRPr="00E63943">
        <w:rPr>
          <w:rFonts w:ascii="Verdana" w:hAnsi="Verdana" w:cs="Arial"/>
          <w:b/>
          <w:bCs/>
          <w:color w:val="000000" w:themeColor="text1"/>
          <w:spacing w:val="-13"/>
          <w:sz w:val="20"/>
          <w:szCs w:val="20"/>
          <w:lang w:val="es-419"/>
        </w:rPr>
        <w:t xml:space="preserve"> comunitarios de la Cuenca del Lago de Atitlán</w:t>
      </w:r>
    </w:p>
    <w:p w:rsidRPr="00E63943" w:rsidR="00B2271A" w:rsidP="00E63943" w:rsidRDefault="00B2271A" w14:paraId="2932248D" w14:textId="2785FEE2">
      <w:pPr>
        <w:spacing w:after="0" w:line="240" w:lineRule="auto"/>
        <w:jc w:val="both"/>
        <w:rPr>
          <w:rFonts w:ascii="Verdana" w:hAnsi="Verdana" w:eastAsia="Times New Roman" w:cs="Segoe UI Historic"/>
          <w:color w:val="050505"/>
          <w:sz w:val="20"/>
          <w:szCs w:val="20"/>
          <w:lang w:eastAsia="es-GT"/>
        </w:rPr>
      </w:pPr>
      <w:r w:rsidRPr="00B2271A">
        <w:rPr>
          <w:rFonts w:ascii="Verdana" w:hAnsi="Verdana" w:eastAsia="Times New Roman" w:cs="Segoe UI Historic"/>
          <w:color w:val="050505"/>
          <w:sz w:val="20"/>
          <w:szCs w:val="20"/>
          <w:lang w:eastAsia="es-GT"/>
        </w:rPr>
        <w:t xml:space="preserve">Con el objetivo de impulsar la educación ambiental en la cuenca del lago de </w:t>
      </w:r>
      <w:proofErr w:type="spellStart"/>
      <w:r w:rsidRPr="00B2271A">
        <w:rPr>
          <w:rFonts w:ascii="Verdana" w:hAnsi="Verdana" w:eastAsia="Times New Roman" w:cs="Segoe UI Historic"/>
          <w:color w:val="050505"/>
          <w:sz w:val="20"/>
          <w:szCs w:val="20"/>
          <w:lang w:eastAsia="es-GT"/>
        </w:rPr>
        <w:t>Atilán</w:t>
      </w:r>
      <w:proofErr w:type="spellEnd"/>
      <w:r w:rsidRPr="00B2271A">
        <w:rPr>
          <w:rFonts w:ascii="Verdana" w:hAnsi="Verdana" w:eastAsia="Times New Roman" w:cs="Segoe UI Historic"/>
          <w:color w:val="050505"/>
          <w:sz w:val="20"/>
          <w:szCs w:val="20"/>
          <w:lang w:eastAsia="es-GT"/>
        </w:rPr>
        <w:t>, para lograr un cambio de actitud en la población hacia un ambiente más sano, el Departamento de Educación Ambiental de AMSCLAE, imparte el Proceso de Formación de Conocimiento Ambiental a líderes comunitarios de la Cuenca del lago de Atitlán.</w:t>
      </w:r>
    </w:p>
    <w:p w:rsidRPr="00B2271A" w:rsidR="001B59FD" w:rsidP="001B59FD" w:rsidRDefault="001B59FD" w14:paraId="6351980E" w14:textId="14FD3925">
      <w:pPr>
        <w:spacing w:after="0" w:line="240" w:lineRule="auto"/>
        <w:ind w:left="360"/>
        <w:jc w:val="both"/>
        <w:rPr>
          <w:rFonts w:ascii="Verdana" w:hAnsi="Verdana" w:eastAsia="Times New Roman" w:cs="Segoe UI Historic"/>
          <w:color w:val="050505"/>
          <w:sz w:val="20"/>
          <w:szCs w:val="20"/>
          <w:lang w:eastAsia="es-GT"/>
        </w:rPr>
      </w:pPr>
    </w:p>
    <w:p w:rsidRPr="00B2271A" w:rsidR="00B2271A" w:rsidP="00E63943" w:rsidRDefault="006306A4" w14:paraId="28867C1B" w14:textId="5A8FF8FE">
      <w:pPr>
        <w:spacing w:after="0" w:line="240" w:lineRule="auto"/>
        <w:jc w:val="both"/>
        <w:rPr>
          <w:rFonts w:ascii="Verdana" w:hAnsi="Verdana" w:eastAsia="Times New Roman" w:cs="Segoe UI Historic"/>
          <w:color w:val="050505"/>
          <w:sz w:val="20"/>
          <w:szCs w:val="20"/>
          <w:lang w:eastAsia="es-GT"/>
        </w:rPr>
      </w:pPr>
      <w:r>
        <w:rPr>
          <w:noProof/>
        </w:rPr>
        <w:drawing>
          <wp:anchor distT="0" distB="0" distL="114300" distR="114300" simplePos="0" relativeHeight="251713536" behindDoc="0" locked="0" layoutInCell="1" allowOverlap="1" wp14:anchorId="5EA0D160" wp14:editId="6B6CEE20">
            <wp:simplePos x="0" y="0"/>
            <wp:positionH relativeFrom="margin">
              <wp:align>right</wp:align>
            </wp:positionH>
            <wp:positionV relativeFrom="paragraph">
              <wp:posOffset>9525</wp:posOffset>
            </wp:positionV>
            <wp:extent cx="1608455" cy="90487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845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71A" w:rsidR="00B2271A">
        <w:rPr>
          <w:rFonts w:ascii="Verdana" w:hAnsi="Verdana" w:eastAsia="Times New Roman" w:cs="Segoe UI Historic"/>
          <w:color w:val="050505"/>
          <w:sz w:val="20"/>
          <w:szCs w:val="20"/>
          <w:lang w:eastAsia="es-GT"/>
        </w:rPr>
        <w:t xml:space="preserve">En esta oportunidad, se coordinó con la Oficina Municipal de Agua y la Dirección de Ambiente y Bienes Naturales de la </w:t>
      </w:r>
      <w:r w:rsidRPr="00E63943" w:rsidR="001B59FD">
        <w:rPr>
          <w:rFonts w:ascii="Verdana" w:hAnsi="Verdana" w:eastAsia="Times New Roman" w:cs="Segoe UI Historic"/>
          <w:color w:val="050505"/>
          <w:sz w:val="20"/>
          <w:szCs w:val="20"/>
          <w:lang w:eastAsia="es-GT"/>
        </w:rPr>
        <w:t xml:space="preserve">Municipalidad de Sololá. </w:t>
      </w:r>
      <w:r w:rsidRPr="00B2271A" w:rsidR="00B2271A">
        <w:rPr>
          <w:rFonts w:ascii="Verdana" w:hAnsi="Verdana" w:eastAsia="Times New Roman" w:cs="Segoe UI Historic"/>
          <w:color w:val="050505"/>
          <w:sz w:val="20"/>
          <w:szCs w:val="20"/>
          <w:lang w:eastAsia="es-GT"/>
        </w:rPr>
        <w:t>para iniciar el proceso con 15 líderes comunitarios de la Aldea Chaquijyá, Sololá.</w:t>
      </w:r>
    </w:p>
    <w:p w:rsidRPr="00E63943" w:rsidR="001B59FD" w:rsidP="001B59FD" w:rsidRDefault="001B59FD" w14:paraId="3956EED5" w14:textId="77777777">
      <w:pPr>
        <w:spacing w:after="0" w:line="240" w:lineRule="auto"/>
        <w:ind w:left="360"/>
        <w:jc w:val="both"/>
        <w:rPr>
          <w:rFonts w:ascii="Verdana" w:hAnsi="Verdana" w:eastAsia="Times New Roman" w:cs="Segoe UI Historic"/>
          <w:color w:val="050505"/>
          <w:sz w:val="20"/>
          <w:szCs w:val="20"/>
          <w:lang w:eastAsia="es-GT"/>
        </w:rPr>
      </w:pPr>
    </w:p>
    <w:p w:rsidRPr="00E63943" w:rsidR="00B2271A" w:rsidP="00E63943" w:rsidRDefault="00B2271A" w14:paraId="4A53DD91" w14:textId="3C18A642">
      <w:pPr>
        <w:spacing w:after="0" w:line="240" w:lineRule="auto"/>
        <w:jc w:val="both"/>
        <w:rPr>
          <w:rFonts w:ascii="Verdana" w:hAnsi="Verdana" w:eastAsia="Times New Roman" w:cs="Segoe UI Historic"/>
          <w:color w:val="050505"/>
          <w:sz w:val="20"/>
          <w:szCs w:val="20"/>
          <w:lang w:eastAsia="es-GT"/>
        </w:rPr>
      </w:pPr>
      <w:r w:rsidRPr="00B2271A">
        <w:rPr>
          <w:rFonts w:ascii="Verdana" w:hAnsi="Verdana" w:eastAsia="Times New Roman" w:cs="Segoe UI Historic"/>
          <w:color w:val="050505"/>
          <w:sz w:val="20"/>
          <w:szCs w:val="20"/>
          <w:lang w:eastAsia="es-GT"/>
        </w:rPr>
        <w:t>La necesidad de formar a estos líderes, se orienta a replicar en más personas el mensaje sobre el cuidado ambiental, la reducción de contaminación y la protección de la cuenca del Lago de Atitlán, impartiendo en la primera sesión, el tema de la situación actual del lago.</w:t>
      </w:r>
    </w:p>
    <w:p w:rsidRPr="00B2271A" w:rsidR="001B59FD" w:rsidP="001B59FD" w:rsidRDefault="001B59FD" w14:paraId="6622F2C7" w14:textId="77777777">
      <w:pPr>
        <w:spacing w:after="0" w:line="240" w:lineRule="auto"/>
        <w:ind w:left="360"/>
        <w:jc w:val="both"/>
        <w:rPr>
          <w:rFonts w:ascii="Verdana" w:hAnsi="Verdana" w:eastAsia="Times New Roman" w:cs="Segoe UI Historic"/>
          <w:color w:val="050505"/>
          <w:sz w:val="20"/>
          <w:szCs w:val="20"/>
          <w:lang w:eastAsia="es-GT"/>
        </w:rPr>
      </w:pPr>
    </w:p>
    <w:p w:rsidRPr="00E63943" w:rsidR="00B2271A" w:rsidP="00E63943" w:rsidRDefault="00B2271A" w14:paraId="0E67E1A4" w14:textId="4E15590A">
      <w:pPr>
        <w:spacing w:after="0" w:line="240" w:lineRule="auto"/>
        <w:jc w:val="both"/>
        <w:rPr>
          <w:rFonts w:ascii="Verdana" w:hAnsi="Verdana" w:eastAsia="Times New Roman" w:cs="Segoe UI Historic"/>
          <w:color w:val="050505"/>
          <w:sz w:val="20"/>
          <w:szCs w:val="20"/>
          <w:lang w:eastAsia="es-GT"/>
        </w:rPr>
      </w:pPr>
      <w:r w:rsidRPr="00B2271A">
        <w:rPr>
          <w:rFonts w:ascii="Verdana" w:hAnsi="Verdana" w:eastAsia="Times New Roman" w:cs="Segoe UI Historic"/>
          <w:color w:val="050505"/>
          <w:sz w:val="20"/>
          <w:szCs w:val="20"/>
          <w:lang w:eastAsia="es-GT"/>
        </w:rPr>
        <w:t xml:space="preserve">Este proceso de formación, tiene una duración de 9 meses, en el cual se </w:t>
      </w:r>
      <w:r w:rsidRPr="00E63943" w:rsidR="001B59FD">
        <w:rPr>
          <w:rFonts w:ascii="Verdana" w:hAnsi="Verdana" w:eastAsia="Times New Roman" w:cs="Segoe UI Historic"/>
          <w:color w:val="050505"/>
          <w:sz w:val="20"/>
          <w:szCs w:val="20"/>
          <w:lang w:eastAsia="es-GT"/>
        </w:rPr>
        <w:t>capacitarán</w:t>
      </w:r>
      <w:r w:rsidRPr="00B2271A">
        <w:rPr>
          <w:rFonts w:ascii="Verdana" w:hAnsi="Verdana" w:eastAsia="Times New Roman" w:cs="Segoe UI Historic"/>
          <w:color w:val="050505"/>
          <w:sz w:val="20"/>
          <w:szCs w:val="20"/>
          <w:lang w:eastAsia="es-GT"/>
        </w:rPr>
        <w:t xml:space="preserve"> sobre distintos temas que fortalecerán el conocimiento de los participantes, en los temas de desechos sólidos, aguas residuales, cuenca hidrográfica, manejo integrado de la cuenca enfocados en saneamiento ambiental, agua, bosque y suelo. </w:t>
      </w:r>
    </w:p>
    <w:p w:rsidRPr="00B2271A" w:rsidR="001B59FD" w:rsidP="001B59FD" w:rsidRDefault="001B59FD" w14:paraId="600B5048" w14:textId="4CDB6C51">
      <w:pPr>
        <w:spacing w:after="0" w:line="240" w:lineRule="auto"/>
        <w:ind w:left="360"/>
        <w:jc w:val="both"/>
        <w:rPr>
          <w:rFonts w:ascii="Verdana" w:hAnsi="Verdana" w:eastAsia="Times New Roman" w:cs="Segoe UI Historic"/>
          <w:color w:val="050505"/>
          <w:sz w:val="20"/>
          <w:szCs w:val="20"/>
          <w:lang w:eastAsia="es-GT"/>
        </w:rPr>
      </w:pPr>
    </w:p>
    <w:p w:rsidR="00B2271A" w:rsidP="00DC3416" w:rsidRDefault="00B2271A" w14:paraId="462FBBFE" w14:textId="5FA04A97">
      <w:pPr>
        <w:spacing w:after="0" w:line="240" w:lineRule="auto"/>
        <w:jc w:val="both"/>
        <w:rPr>
          <w:rFonts w:ascii="Verdana" w:hAnsi="Verdana" w:eastAsia="Times New Roman" w:cs="Segoe UI Historic"/>
          <w:color w:val="050505"/>
          <w:sz w:val="20"/>
          <w:szCs w:val="20"/>
          <w:lang w:eastAsia="es-GT"/>
        </w:rPr>
      </w:pPr>
      <w:r w:rsidRPr="00B2271A">
        <w:rPr>
          <w:rFonts w:ascii="Verdana" w:hAnsi="Verdana" w:eastAsia="Times New Roman" w:cs="Segoe UI Historic"/>
          <w:color w:val="050505"/>
          <w:sz w:val="20"/>
          <w:szCs w:val="20"/>
          <w:lang w:eastAsia="es-GT"/>
        </w:rPr>
        <w:t>Al finalizar este proceso de formación, cada líder presentará un proyecto ambiental en beneficio a su comunidad, para la integración de buenas prácticas ambientales</w:t>
      </w:r>
      <w:r w:rsidRPr="00E63943" w:rsidR="00E63943">
        <w:rPr>
          <w:rFonts w:ascii="Verdana" w:hAnsi="Verdana" w:eastAsia="Times New Roman" w:cs="Segoe UI Historic"/>
          <w:color w:val="050505"/>
          <w:sz w:val="20"/>
          <w:szCs w:val="20"/>
          <w:lang w:eastAsia="es-GT"/>
        </w:rPr>
        <w:t>.</w:t>
      </w:r>
    </w:p>
    <w:p w:rsidR="0029185C" w:rsidP="00DC3416" w:rsidRDefault="0029185C" w14:paraId="235A6444" w14:textId="5DC53D46">
      <w:pPr>
        <w:spacing w:after="0" w:line="240" w:lineRule="auto"/>
        <w:jc w:val="both"/>
        <w:rPr>
          <w:rFonts w:ascii="Verdana" w:hAnsi="Verdana" w:eastAsia="Times New Roman" w:cs="Segoe UI Historic"/>
          <w:color w:val="050505"/>
          <w:sz w:val="20"/>
          <w:szCs w:val="20"/>
          <w:lang w:eastAsia="es-GT"/>
        </w:rPr>
      </w:pPr>
    </w:p>
    <w:p w:rsidRPr="0029185C" w:rsidR="0029185C" w:rsidP="0029185C" w:rsidRDefault="0029185C" w14:paraId="2B2DBF8F" w14:textId="75CE8BFC">
      <w:pPr>
        <w:shd w:val="clear" w:color="auto" w:fill="FFFFFF"/>
        <w:spacing w:after="0" w:line="240" w:lineRule="auto"/>
        <w:jc w:val="both"/>
        <w:rPr>
          <w:rFonts w:ascii="Verdana" w:hAnsi="Verdana" w:eastAsia="Times New Roman" w:cs="Segoe UI Historic"/>
          <w:b/>
          <w:color w:val="050505"/>
          <w:sz w:val="20"/>
          <w:szCs w:val="20"/>
          <w:lang w:eastAsia="es-ES"/>
        </w:rPr>
      </w:pPr>
      <w:r>
        <w:rPr>
          <w:rFonts w:ascii="Verdana" w:hAnsi="Verdana" w:eastAsia="Times New Roman" w:cs="Segoe UI Historic"/>
          <w:b/>
          <w:color w:val="050505"/>
          <w:sz w:val="20"/>
          <w:szCs w:val="20"/>
          <w:lang w:eastAsia="es-ES"/>
        </w:rPr>
        <w:t>O</w:t>
      </w:r>
      <w:r w:rsidRPr="0029185C">
        <w:rPr>
          <w:rFonts w:ascii="Verdana" w:hAnsi="Verdana" w:eastAsia="Times New Roman" w:cs="Segoe UI Historic"/>
          <w:b/>
          <w:color w:val="050505"/>
          <w:sz w:val="20"/>
          <w:szCs w:val="20"/>
          <w:lang w:eastAsia="es-ES"/>
        </w:rPr>
        <w:t>perarios del tren se aseo de Santiago Atitlán</w:t>
      </w:r>
      <w:r>
        <w:rPr>
          <w:rFonts w:ascii="Verdana" w:hAnsi="Verdana" w:eastAsia="Times New Roman" w:cs="Segoe UI Historic"/>
          <w:b/>
          <w:color w:val="050505"/>
          <w:sz w:val="20"/>
          <w:szCs w:val="20"/>
          <w:lang w:eastAsia="es-ES"/>
        </w:rPr>
        <w:t>, son capacitados por AMSCLAE</w:t>
      </w:r>
    </w:p>
    <w:p w:rsidRPr="0029185C" w:rsidR="0029185C" w:rsidP="0029185C" w:rsidRDefault="0029185C" w14:paraId="151A925D" w14:textId="77777777">
      <w:pPr>
        <w:shd w:val="clear" w:color="auto" w:fill="FFFFFF"/>
        <w:spacing w:after="0" w:line="240" w:lineRule="auto"/>
        <w:jc w:val="both"/>
        <w:rPr>
          <w:rFonts w:ascii="Verdana" w:hAnsi="Verdana" w:eastAsia="Times New Roman" w:cs="Segoe UI Historic"/>
          <w:color w:val="050505"/>
          <w:sz w:val="20"/>
          <w:szCs w:val="20"/>
          <w:lang w:eastAsia="es-ES"/>
        </w:rPr>
      </w:pPr>
    </w:p>
    <w:p w:rsidRPr="0029185C" w:rsidR="0029185C" w:rsidP="0029185C" w:rsidRDefault="0029185C" w14:paraId="376DC337" w14:textId="154D1EBA">
      <w:pPr>
        <w:shd w:val="clear" w:color="auto" w:fill="FFFFFF"/>
        <w:spacing w:after="0" w:line="240" w:lineRule="auto"/>
        <w:jc w:val="both"/>
        <w:rPr>
          <w:rFonts w:ascii="Verdana" w:hAnsi="Verdana" w:eastAsia="Times New Roman" w:cs="Segoe UI Historic"/>
          <w:color w:val="050505"/>
          <w:sz w:val="20"/>
          <w:szCs w:val="20"/>
          <w:lang w:eastAsia="es-ES"/>
        </w:rPr>
      </w:pPr>
      <w:r w:rsidRPr="001961D6">
        <w:rPr>
          <w:rFonts w:ascii="Century Gothic" w:hAnsi="Century Gothic"/>
          <w:noProof/>
          <w:sz w:val="24"/>
          <w:szCs w:val="24"/>
          <w:lang w:eastAsia="es-ES"/>
        </w:rPr>
        <w:drawing>
          <wp:anchor distT="0" distB="0" distL="114300" distR="114300" simplePos="0" relativeHeight="251716608" behindDoc="0" locked="0" layoutInCell="1" allowOverlap="1" wp14:anchorId="37409D8F" wp14:editId="7288EB47">
            <wp:simplePos x="0" y="0"/>
            <wp:positionH relativeFrom="column">
              <wp:posOffset>4038600</wp:posOffset>
            </wp:positionH>
            <wp:positionV relativeFrom="paragraph">
              <wp:posOffset>10160</wp:posOffset>
            </wp:positionV>
            <wp:extent cx="1647825" cy="1089691"/>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58148" t="28982" r="6224" b="29112"/>
                    <a:stretch/>
                  </pic:blipFill>
                  <pic:spPr bwMode="auto">
                    <a:xfrm>
                      <a:off x="0" y="0"/>
                      <a:ext cx="1647825" cy="1089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185C" w:rsidR="0029185C">
        <w:rPr>
          <w:rFonts w:ascii="Verdana" w:hAnsi="Verdana" w:eastAsia="Times New Roman" w:cs="Segoe UI Historic"/>
          <w:color w:val="050505"/>
          <w:sz w:val="20"/>
          <w:szCs w:val="20"/>
          <w:lang w:eastAsia="es-ES"/>
        </w:rPr>
        <w:t>Con el objetivo de preparar las condiciones necesarias, para la implementación del tren de aseo, que cumpla con los mecanismos adecuados para el manejo y gestión integral de los residuos sólidos, la municipalidad de Santiago Atitlán en coordinación con AMSCLAE, inician un proceso de capacitación sobre el manejo integral, clasificación y disposición final de desechos sólidos.</w:t>
      </w:r>
    </w:p>
    <w:p w:rsidRPr="0029185C" w:rsidR="0029185C" w:rsidP="0029185C" w:rsidRDefault="0029185C" w14:paraId="08E6EF1F" w14:textId="77777777">
      <w:pPr>
        <w:shd w:val="clear" w:color="auto" w:fill="FFFFFF"/>
        <w:spacing w:after="0" w:line="240" w:lineRule="auto"/>
        <w:jc w:val="both"/>
        <w:rPr>
          <w:rFonts w:ascii="Verdana" w:hAnsi="Verdana" w:eastAsia="Times New Roman" w:cs="Segoe UI Historic"/>
          <w:color w:val="050505"/>
          <w:sz w:val="20"/>
          <w:szCs w:val="20"/>
          <w:lang w:eastAsia="es-ES"/>
        </w:rPr>
      </w:pPr>
    </w:p>
    <w:p w:rsidRPr="0029185C" w:rsidR="0029185C" w:rsidP="0029185C" w:rsidRDefault="0029185C" w14:paraId="1E703F72" w14:textId="1FDA5073">
      <w:pPr>
        <w:shd w:val="clear" w:color="auto" w:fill="FFFFFF"/>
        <w:spacing w:after="0" w:line="240" w:lineRule="auto"/>
        <w:jc w:val="both"/>
        <w:rPr>
          <w:rFonts w:ascii="Verdana" w:hAnsi="Verdana" w:eastAsia="Times New Roman" w:cs="Segoe UI Historic"/>
          <w:color w:val="050505"/>
          <w:sz w:val="20"/>
          <w:szCs w:val="20"/>
          <w:lang w:eastAsia="es-ES"/>
        </w:rPr>
      </w:pPr>
      <w:r w:rsidRPr="0029185C">
        <w:rPr>
          <w:rFonts w:ascii="Verdana" w:hAnsi="Verdana" w:eastAsia="Times New Roman" w:cs="Segoe UI Historic"/>
          <w:color w:val="050505"/>
          <w:sz w:val="20"/>
          <w:szCs w:val="20"/>
          <w:lang w:eastAsia="es-ES"/>
        </w:rPr>
        <w:t>En esta primera fase, el Departamento de Educación Ambiental de AMSCLAE, dirigió la capacitación a técnicos de la unidad de medio ambiente, personal del tren de aseo y operarios de la Planta de Tratamiento de Residuos y Desechos Sólidos del municipio, promoviendo acciones y mecanismos que coadyuven al buen manejo y gestión de los residuos sólidos urbanos y orientado hacia la atención de la población.</w:t>
      </w:r>
    </w:p>
    <w:p w:rsidRPr="0029185C" w:rsidR="0029185C" w:rsidP="0029185C" w:rsidRDefault="0029185C" w14:paraId="533EC152" w14:textId="3AAD34E7">
      <w:pPr>
        <w:shd w:val="clear" w:color="auto" w:fill="FFFFFF"/>
        <w:spacing w:after="0" w:line="240" w:lineRule="auto"/>
        <w:jc w:val="both"/>
        <w:rPr>
          <w:rFonts w:ascii="Verdana" w:hAnsi="Verdana" w:eastAsia="Times New Roman" w:cs="Segoe UI Historic"/>
          <w:color w:val="050505"/>
          <w:sz w:val="20"/>
          <w:szCs w:val="20"/>
          <w:lang w:eastAsia="es-ES"/>
        </w:rPr>
      </w:pPr>
    </w:p>
    <w:p w:rsidR="0029185C" w:rsidP="0029185C" w:rsidRDefault="0029185C" w14:paraId="72CC8596" w14:textId="504AF73B">
      <w:pPr>
        <w:shd w:val="clear" w:color="auto" w:fill="FFFFFF"/>
        <w:spacing w:after="0" w:line="240" w:lineRule="auto"/>
        <w:jc w:val="both"/>
        <w:rPr>
          <w:rFonts w:ascii="Verdana" w:hAnsi="Verdana" w:eastAsia="Times New Roman" w:cs="Segoe UI Historic"/>
          <w:color w:val="050505"/>
          <w:sz w:val="20"/>
          <w:szCs w:val="20"/>
          <w:lang w:eastAsia="es-ES"/>
        </w:rPr>
      </w:pPr>
      <w:r w:rsidRPr="0029185C">
        <w:rPr>
          <w:rFonts w:ascii="Verdana" w:hAnsi="Verdana" w:eastAsia="Times New Roman" w:cs="Segoe UI Historic"/>
          <w:color w:val="050505"/>
          <w:sz w:val="20"/>
          <w:szCs w:val="20"/>
          <w:lang w:eastAsia="es-ES"/>
        </w:rPr>
        <w:t xml:space="preserve">Estas acciones son promovidas por el señor </w:t>
      </w:r>
      <w:proofErr w:type="gramStart"/>
      <w:r w:rsidRPr="0029185C">
        <w:rPr>
          <w:rFonts w:ascii="Verdana" w:hAnsi="Verdana" w:eastAsia="Times New Roman" w:cs="Segoe UI Historic"/>
          <w:color w:val="050505"/>
          <w:sz w:val="20"/>
          <w:szCs w:val="20"/>
          <w:lang w:eastAsia="es-ES"/>
        </w:rPr>
        <w:t>Alcalde</w:t>
      </w:r>
      <w:proofErr w:type="gramEnd"/>
      <w:r w:rsidRPr="0029185C">
        <w:rPr>
          <w:rFonts w:ascii="Verdana" w:hAnsi="Verdana" w:eastAsia="Times New Roman" w:cs="Segoe UI Historic"/>
          <w:color w:val="050505"/>
          <w:sz w:val="20"/>
          <w:szCs w:val="20"/>
          <w:lang w:eastAsia="es-ES"/>
        </w:rPr>
        <w:t xml:space="preserve"> Bartolomé </w:t>
      </w:r>
      <w:proofErr w:type="spellStart"/>
      <w:r w:rsidRPr="0029185C">
        <w:rPr>
          <w:rFonts w:ascii="Verdana" w:hAnsi="Verdana" w:eastAsia="Times New Roman" w:cs="Segoe UI Historic"/>
          <w:color w:val="050505"/>
          <w:sz w:val="20"/>
          <w:szCs w:val="20"/>
          <w:lang w:eastAsia="es-ES"/>
        </w:rPr>
        <w:t>Ajchomaj</w:t>
      </w:r>
      <w:proofErr w:type="spellEnd"/>
      <w:r w:rsidRPr="0029185C">
        <w:rPr>
          <w:rFonts w:ascii="Verdana" w:hAnsi="Verdana" w:eastAsia="Times New Roman" w:cs="Segoe UI Historic"/>
          <w:color w:val="050505"/>
          <w:sz w:val="20"/>
          <w:szCs w:val="20"/>
          <w:lang w:eastAsia="es-ES"/>
        </w:rPr>
        <w:t>, como parte de los proyectos de mejoramiento de infraestructura que ejecuta la Municipalidad de Santiago Atitlán.</w:t>
      </w:r>
      <w:r>
        <w:rPr>
          <w:rFonts w:ascii="Verdana" w:hAnsi="Verdana" w:eastAsia="Times New Roman" w:cs="Segoe UI Historic"/>
          <w:color w:val="050505"/>
          <w:sz w:val="20"/>
          <w:szCs w:val="20"/>
          <w:lang w:eastAsia="es-ES"/>
        </w:rPr>
        <w:t xml:space="preserve"> </w:t>
      </w:r>
      <w:r w:rsidRPr="0029185C">
        <w:rPr>
          <w:rFonts w:ascii="Verdana" w:hAnsi="Verdana" w:eastAsia="Times New Roman" w:cs="Segoe UI Historic"/>
          <w:color w:val="050505"/>
          <w:sz w:val="20"/>
          <w:szCs w:val="20"/>
          <w:lang w:eastAsia="es-ES"/>
        </w:rPr>
        <w:t>Próximamente iniciará la campaña de comunicación, orientada a la población cuyo papel es fundamental para la buena gestión del servicio y su sostenibilidad.</w:t>
      </w:r>
    </w:p>
    <w:p w:rsidR="009754EB" w:rsidP="0029185C" w:rsidRDefault="009754EB" w14:paraId="66FB6D3F" w14:textId="569AE96B">
      <w:pPr>
        <w:shd w:val="clear" w:color="auto" w:fill="FFFFFF"/>
        <w:spacing w:after="0" w:line="240" w:lineRule="auto"/>
        <w:jc w:val="both"/>
        <w:rPr>
          <w:rFonts w:ascii="Verdana" w:hAnsi="Verdana" w:eastAsia="Times New Roman" w:cs="Segoe UI Historic"/>
          <w:color w:val="050505"/>
          <w:sz w:val="20"/>
          <w:szCs w:val="20"/>
          <w:lang w:eastAsia="es-ES"/>
        </w:rPr>
      </w:pPr>
    </w:p>
    <w:p w:rsidR="009754EB" w:rsidP="0029185C" w:rsidRDefault="009754EB" w14:paraId="0FF99E6B" w14:textId="60AD45FC">
      <w:pPr>
        <w:shd w:val="clear" w:color="auto" w:fill="FFFFFF"/>
        <w:spacing w:after="0" w:line="240" w:lineRule="auto"/>
        <w:jc w:val="both"/>
        <w:rPr>
          <w:rFonts w:ascii="Verdana" w:hAnsi="Verdana" w:eastAsia="Times New Roman" w:cs="Segoe UI Historic"/>
          <w:color w:val="050505"/>
          <w:sz w:val="20"/>
          <w:szCs w:val="20"/>
          <w:lang w:eastAsia="es-ES"/>
        </w:rPr>
      </w:pPr>
    </w:p>
    <w:p w:rsidR="00F6106A" w:rsidP="00F6106A" w:rsidRDefault="00F6106A" w14:paraId="38AAB84A" w14:textId="7AA95E18">
      <w:pPr>
        <w:rPr>
          <w:rFonts w:ascii="Verdana" w:hAnsi="Verdana" w:eastAsia="Times New Roman" w:cs="Segoe UI Historic"/>
          <w:color w:val="050505"/>
          <w:sz w:val="20"/>
          <w:szCs w:val="20"/>
          <w:lang w:eastAsia="es-ES"/>
        </w:rPr>
      </w:pPr>
      <w:r w:rsidRPr="00F6106A">
        <w:rPr>
          <w:rFonts w:ascii="Verdana" w:hAnsi="Verdana"/>
          <w:b/>
          <w:bCs/>
          <w:sz w:val="20"/>
          <w:szCs w:val="20"/>
        </w:rPr>
        <w:t>Lanzamiento Oficial de la Campaña de Sensibilización sobre hábitos higiénicos y saneamiento ambiental</w:t>
      </w:r>
    </w:p>
    <w:p w:rsidRPr="00F6106A" w:rsidR="006E4F0C" w:rsidP="00F6106A" w:rsidRDefault="006E4F0C" w14:paraId="282FA0D9" w14:textId="3C92D120">
      <w:pPr>
        <w:shd w:val="clear" w:color="auto" w:fill="FFFFFF"/>
        <w:spacing w:after="0" w:line="240" w:lineRule="auto"/>
        <w:jc w:val="both"/>
        <w:rPr>
          <w:rFonts w:ascii="Verdana" w:hAnsi="Verdana" w:eastAsia="Times New Roman" w:cs="Segoe UI Historic"/>
          <w:sz w:val="20"/>
          <w:szCs w:val="20"/>
          <w:lang w:eastAsia="es-ES"/>
        </w:rPr>
      </w:pPr>
      <w:r w:rsidRPr="00F6106A" w:rsidR="006E4F0C">
        <w:rPr>
          <w:rFonts w:ascii="Verdana" w:hAnsi="Verdana" w:eastAsia="Times New Roman" w:cs="Segoe UI Historic"/>
          <w:sz w:val="20"/>
          <w:szCs w:val="20"/>
          <w:lang w:eastAsia="es-ES"/>
        </w:rPr>
        <w:t xml:space="preserve">Con el objetivo de sensibilizar a la comunidad educativa sobre los hábitos higiénicos y de saneamiento ambiental, el programa RUK’U’X YA del Fondo de Cooperación para Agua y </w:t>
      </w:r>
      <w:r w:rsidR="006306A4">
        <w:rPr>
          <w:noProof/>
        </w:rPr>
        <w:lastRenderedPageBreak/>
        <w:drawing>
          <wp:anchor distT="0" distB="0" distL="114300" distR="114300" simplePos="0" relativeHeight="251727872" behindDoc="0" locked="0" layoutInCell="1" allowOverlap="1" wp14:anchorId="44A867AC" wp14:editId="444E2AF4">
            <wp:simplePos x="0" y="0"/>
            <wp:positionH relativeFrom="margin">
              <wp:align>right</wp:align>
            </wp:positionH>
            <wp:positionV relativeFrom="paragraph">
              <wp:posOffset>53340</wp:posOffset>
            </wp:positionV>
            <wp:extent cx="2022475" cy="11334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2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06A" w:rsidR="006E4F0C">
        <w:rPr>
          <w:rFonts w:ascii="Verdana" w:hAnsi="Verdana" w:eastAsia="Times New Roman" w:cs="Segoe UI Historic"/>
          <w:sz w:val="20"/>
          <w:szCs w:val="20"/>
          <w:lang w:eastAsia="es-ES"/>
        </w:rPr>
        <w:t xml:space="preserve">Saneamiento (FCAS), La Autoridad para el Manejo Sustentable de la Cuenca del Lago de Atitlán y su Entorno (AMSCLAE), en coordinación con el Ministerio de Educación (MINEDUC), El Ministerio de Salud Pública y Asistencia Social (MSPAS) y el programa EPSUM de la Universidad de San Carlos, presentaron la campaña “La higiene es salud”, en la Escuela Oficial Rural Mixta de la Aldea </w:t>
      </w:r>
      <w:proofErr w:type="spellStart"/>
      <w:r w:rsidRPr="00F6106A" w:rsidR="006E4F0C">
        <w:rPr>
          <w:rFonts w:ascii="Verdana" w:hAnsi="Verdana" w:eastAsia="Times New Roman" w:cs="Segoe UI Historic"/>
          <w:sz w:val="20"/>
          <w:szCs w:val="20"/>
          <w:lang w:eastAsia="es-ES"/>
        </w:rPr>
        <w:t>Chitulul</w:t>
      </w:r>
      <w:proofErr w:type="spellEnd"/>
      <w:r w:rsidRPr="00F6106A" w:rsidR="006E4F0C">
        <w:rPr>
          <w:rFonts w:ascii="Verdana" w:hAnsi="Verdana" w:eastAsia="Times New Roman" w:cs="Segoe UI Historic"/>
          <w:sz w:val="20"/>
          <w:szCs w:val="20"/>
          <w:lang w:eastAsia="es-ES"/>
        </w:rPr>
        <w:t>, San Antonio Palopó.</w:t>
      </w:r>
    </w:p>
    <w:p w:rsidRPr="00F6106A" w:rsidR="006E4F0C" w:rsidP="00F6106A" w:rsidRDefault="006E4F0C" w14:paraId="463A638C" w14:textId="3DA20709">
      <w:pPr>
        <w:shd w:val="clear" w:color="auto" w:fill="FFFFFF"/>
        <w:spacing w:after="0" w:line="240" w:lineRule="auto"/>
        <w:jc w:val="both"/>
        <w:rPr>
          <w:rFonts w:ascii="Verdana" w:hAnsi="Verdana" w:eastAsia="Times New Roman" w:cs="Segoe UI Historic"/>
          <w:sz w:val="20"/>
          <w:szCs w:val="20"/>
          <w:lang w:eastAsia="es-ES"/>
        </w:rPr>
      </w:pPr>
    </w:p>
    <w:p w:rsidRPr="00F6106A" w:rsidR="006E4F0C" w:rsidP="00F6106A" w:rsidRDefault="006E4F0C" w14:paraId="02E8C577" w14:textId="6E1164D2">
      <w:pPr>
        <w:shd w:val="clear" w:color="auto" w:fill="FFFFFF"/>
        <w:spacing w:after="0" w:line="240" w:lineRule="auto"/>
        <w:jc w:val="both"/>
        <w:rPr>
          <w:rFonts w:ascii="Verdana" w:hAnsi="Verdana" w:eastAsia="Times New Roman" w:cs="Segoe UI Historic"/>
          <w:sz w:val="20"/>
          <w:szCs w:val="20"/>
          <w:lang w:eastAsia="es-ES"/>
        </w:rPr>
      </w:pPr>
      <w:r w:rsidRPr="00F6106A">
        <w:rPr>
          <w:rFonts w:ascii="Verdana" w:hAnsi="Verdana" w:eastAsia="Times New Roman" w:cs="Segoe UI Historic"/>
          <w:sz w:val="20"/>
          <w:szCs w:val="20"/>
          <w:lang w:eastAsia="es-ES"/>
        </w:rPr>
        <w:t>Dicha campaña se desarrollará en 3 fases, la primera de ellas enfocada en la salud y la reducción de enfermedades gastrointestinales, a través de prácticas que mejoren los hábitos de higiénicos, la segunda, se facilitará un kit de materiales informativos para socializados en cada uno de los establecimientos educativos y la tercera, será la implementación de murales escolares con la temática de hábitos saludables.</w:t>
      </w:r>
    </w:p>
    <w:p w:rsidRPr="00F6106A" w:rsidR="006E4F0C" w:rsidP="00F6106A" w:rsidRDefault="006E4F0C" w14:paraId="2C55CB72" w14:textId="0E46B2BD">
      <w:pPr>
        <w:shd w:val="clear" w:color="auto" w:fill="FFFFFF"/>
        <w:spacing w:after="0" w:line="240" w:lineRule="auto"/>
        <w:jc w:val="both"/>
        <w:rPr>
          <w:rFonts w:ascii="Verdana" w:hAnsi="Verdana" w:eastAsia="Times New Roman" w:cs="Segoe UI Historic"/>
          <w:sz w:val="20"/>
          <w:szCs w:val="20"/>
          <w:lang w:eastAsia="es-ES"/>
        </w:rPr>
      </w:pPr>
    </w:p>
    <w:p w:rsidR="00E764BD" w:rsidP="00F6106A" w:rsidRDefault="00F6106A" w14:paraId="4AEB8AE1" w14:textId="77777777">
      <w:pPr>
        <w:shd w:val="clear" w:color="auto" w:fill="FFFFFF"/>
        <w:spacing w:after="360" w:line="240" w:lineRule="auto"/>
        <w:jc w:val="both"/>
        <w:rPr>
          <w:rFonts w:ascii="Verdana" w:hAnsi="Verdana" w:eastAsia="Times New Roman" w:cs="Arial"/>
          <w:sz w:val="20"/>
          <w:szCs w:val="20"/>
          <w:lang w:eastAsia="es-GT"/>
        </w:rPr>
      </w:pPr>
      <w:r w:rsidRPr="00F6106A">
        <w:rPr>
          <w:rFonts w:ascii="Verdana" w:hAnsi="Verdana" w:eastAsia="Times New Roman" w:cs="Arial"/>
          <w:sz w:val="20"/>
          <w:szCs w:val="20"/>
          <w:lang w:eastAsia="es-GT"/>
        </w:rPr>
        <w:t xml:space="preserve">Durante el evento, se presentó el jingle oficial de la campaña en los idiomas de </w:t>
      </w:r>
      <w:proofErr w:type="spellStart"/>
      <w:r w:rsidRPr="00F6106A">
        <w:rPr>
          <w:rFonts w:ascii="Verdana" w:hAnsi="Verdana" w:eastAsia="Times New Roman" w:cs="Arial"/>
          <w:sz w:val="20"/>
          <w:szCs w:val="20"/>
          <w:lang w:eastAsia="es-GT"/>
        </w:rPr>
        <w:t>K’iche</w:t>
      </w:r>
      <w:proofErr w:type="spellEnd"/>
      <w:r w:rsidRPr="00F6106A">
        <w:rPr>
          <w:rFonts w:ascii="Verdana" w:hAnsi="Verdana" w:eastAsia="Times New Roman" w:cs="Arial"/>
          <w:sz w:val="20"/>
          <w:szCs w:val="20"/>
          <w:lang w:eastAsia="es-GT"/>
        </w:rPr>
        <w:t xml:space="preserve">’, Kaqchikel y </w:t>
      </w:r>
      <w:proofErr w:type="spellStart"/>
      <w:r w:rsidRPr="00F6106A">
        <w:rPr>
          <w:rFonts w:ascii="Verdana" w:hAnsi="Verdana" w:eastAsia="Times New Roman" w:cs="Arial"/>
          <w:sz w:val="20"/>
          <w:szCs w:val="20"/>
          <w:lang w:eastAsia="es-GT"/>
        </w:rPr>
        <w:t>Tz’utujil</w:t>
      </w:r>
      <w:proofErr w:type="spellEnd"/>
      <w:r w:rsidRPr="00F6106A">
        <w:rPr>
          <w:rFonts w:ascii="Verdana" w:hAnsi="Verdana" w:eastAsia="Times New Roman" w:cs="Arial"/>
          <w:sz w:val="20"/>
          <w:szCs w:val="20"/>
          <w:lang w:eastAsia="es-GT"/>
        </w:rPr>
        <w:t>. Asimismo, se hizo entrega al director del establecimiento educativo, banners con prácticas de lavado de manos, cepillado de dientes y otros cuidados para la salud.</w:t>
      </w:r>
    </w:p>
    <w:p w:rsidR="00E764BD" w:rsidP="00F6106A" w:rsidRDefault="00F6106A" w14:paraId="191D9CD6" w14:textId="77777777">
      <w:pPr>
        <w:shd w:val="clear" w:color="auto" w:fill="FFFFFF"/>
        <w:spacing w:after="360" w:line="240" w:lineRule="auto"/>
        <w:jc w:val="both"/>
        <w:rPr>
          <w:rFonts w:ascii="Verdana" w:hAnsi="Verdana" w:eastAsia="Times New Roman" w:cs="Arial"/>
          <w:sz w:val="20"/>
          <w:szCs w:val="20"/>
          <w:lang w:eastAsia="es-GT"/>
        </w:rPr>
      </w:pPr>
      <w:r w:rsidRPr="00F6106A">
        <w:rPr>
          <w:rFonts w:ascii="Verdana" w:hAnsi="Verdana" w:eastAsia="Times New Roman" w:cs="Arial"/>
          <w:sz w:val="20"/>
          <w:szCs w:val="20"/>
          <w:lang w:eastAsia="es-GT"/>
        </w:rPr>
        <w:t>Por su parte, la Subdirectora Técnica de AMSCLAE, Inga. Cindy de León, indicó que estas acciones se apegan a los objetivos estratégicos de la AMSCLAE, el cual contempla, el establecimiento de alianzas y procesos a través de la educación ambiental, afirmando que es necesario invertir en agua y saneamiento, creando condiciones de acceso y salud para la población.</w:t>
      </w:r>
    </w:p>
    <w:p w:rsidR="006E4F0C" w:rsidP="00F6106A" w:rsidRDefault="00F6106A" w14:paraId="441403E9" w14:textId="145EEFAE">
      <w:pPr>
        <w:shd w:val="clear" w:color="auto" w:fill="FFFFFF"/>
        <w:spacing w:after="360" w:line="240" w:lineRule="auto"/>
        <w:jc w:val="both"/>
        <w:rPr>
          <w:rFonts w:ascii="Verdana" w:hAnsi="Verdana" w:eastAsia="Times New Roman" w:cs="Segoe UI Historic"/>
          <w:color w:val="050505"/>
          <w:sz w:val="20"/>
          <w:szCs w:val="20"/>
          <w:lang w:eastAsia="es-ES"/>
        </w:rPr>
      </w:pPr>
      <w:r w:rsidRPr="00F6106A">
        <w:rPr>
          <w:rFonts w:ascii="Verdana" w:hAnsi="Verdana" w:eastAsia="Times New Roman" w:cs="Arial"/>
          <w:sz w:val="20"/>
          <w:szCs w:val="20"/>
          <w:lang w:eastAsia="es-GT"/>
        </w:rPr>
        <w:t xml:space="preserve">Proyectos como estos, dan cumplimento a los acuerdos adquiridos tras la firma de convenio con el programa RUK’U’X YA del Fondo de Cooperación para Agua y Saneamiento (FCAS) de la Agencia Española de Cooperación Internacional para el Desarrollo (AECID), derivados específicamente de la </w:t>
      </w:r>
      <w:proofErr w:type="spellStart"/>
      <w:r w:rsidRPr="00F6106A">
        <w:rPr>
          <w:rFonts w:ascii="Verdana" w:hAnsi="Verdana" w:eastAsia="Times New Roman" w:cs="Arial"/>
          <w:sz w:val="20"/>
          <w:szCs w:val="20"/>
          <w:lang w:eastAsia="es-GT"/>
        </w:rPr>
        <w:t>la</w:t>
      </w:r>
      <w:proofErr w:type="spellEnd"/>
      <w:r w:rsidRPr="00F6106A">
        <w:rPr>
          <w:rFonts w:ascii="Verdana" w:hAnsi="Verdana" w:eastAsia="Times New Roman" w:cs="Arial"/>
          <w:sz w:val="20"/>
          <w:szCs w:val="20"/>
          <w:lang w:eastAsia="es-GT"/>
        </w:rPr>
        <w:t xml:space="preserve"> cláusula de educación ambiental.</w:t>
      </w:r>
    </w:p>
    <w:p w:rsidRPr="00CE312F" w:rsidR="006E4F0C" w:rsidP="006E4F0C" w:rsidRDefault="006E4F0C" w14:paraId="6F90B11C" w14:textId="77777777">
      <w:pPr>
        <w:pStyle w:val="NormalWeb"/>
        <w:jc w:val="both"/>
        <w:rPr>
          <w:rFonts w:ascii="Verdana" w:hAnsi="Verdana" w:eastAsia="Calibri" w:cstheme="minorHAnsi"/>
          <w:sz w:val="20"/>
          <w:szCs w:val="20"/>
          <w:lang w:val="es-419"/>
        </w:rPr>
      </w:pPr>
      <w:r w:rsidRPr="00CE312F">
        <w:rPr>
          <w:rFonts w:ascii="Verdana" w:hAnsi="Verdana" w:cs="Segoe UI"/>
          <w:b/>
          <w:sz w:val="20"/>
          <w:szCs w:val="20"/>
          <w:shd w:val="clear" w:color="auto" w:fill="FFFFFF"/>
          <w:lang w:val="es-419"/>
        </w:rPr>
        <w:t>AMSCLAE f</w:t>
      </w:r>
      <w:proofErr w:type="spellStart"/>
      <w:r w:rsidRPr="00CE312F">
        <w:rPr>
          <w:rFonts w:ascii="Verdana" w:hAnsi="Verdana" w:cs="Segoe UI"/>
          <w:b/>
          <w:sz w:val="20"/>
          <w:szCs w:val="20"/>
          <w:shd w:val="clear" w:color="auto" w:fill="FFFFFF"/>
        </w:rPr>
        <w:t>irma</w:t>
      </w:r>
      <w:proofErr w:type="spellEnd"/>
      <w:r w:rsidRPr="00CE312F">
        <w:rPr>
          <w:rFonts w:ascii="Verdana" w:hAnsi="Verdana" w:cs="Segoe UI"/>
          <w:b/>
          <w:sz w:val="20"/>
          <w:szCs w:val="20"/>
          <w:shd w:val="clear" w:color="auto" w:fill="FFFFFF"/>
        </w:rPr>
        <w:t xml:space="preserve"> convenio interinstitucional </w:t>
      </w:r>
      <w:r w:rsidRPr="00CE312F">
        <w:rPr>
          <w:rFonts w:ascii="Verdana" w:hAnsi="Verdana" w:cs="Segoe UI"/>
          <w:b/>
          <w:sz w:val="20"/>
          <w:szCs w:val="20"/>
          <w:shd w:val="clear" w:color="auto" w:fill="FFFFFF"/>
          <w:lang w:val="es-419"/>
        </w:rPr>
        <w:t>para</w:t>
      </w:r>
      <w:r w:rsidRPr="00CE312F">
        <w:rPr>
          <w:rFonts w:ascii="Verdana" w:hAnsi="Verdana" w:cs="Segoe UI"/>
          <w:b/>
          <w:sz w:val="20"/>
          <w:szCs w:val="20"/>
          <w:shd w:val="clear" w:color="auto" w:fill="FFFFFF"/>
        </w:rPr>
        <w:t xml:space="preserve"> actividades </w:t>
      </w:r>
      <w:r w:rsidRPr="00CE312F">
        <w:rPr>
          <w:rFonts w:ascii="Verdana" w:hAnsi="Verdana" w:cs="Segoe UI"/>
          <w:b/>
          <w:sz w:val="20"/>
          <w:szCs w:val="20"/>
          <w:shd w:val="clear" w:color="auto" w:fill="FFFFFF"/>
          <w:lang w:val="es-419"/>
        </w:rPr>
        <w:t>de</w:t>
      </w:r>
      <w:r w:rsidRPr="00CE312F">
        <w:rPr>
          <w:rFonts w:ascii="Verdana" w:hAnsi="Verdana" w:cs="Segoe UI"/>
          <w:b/>
          <w:sz w:val="20"/>
          <w:szCs w:val="20"/>
          <w:shd w:val="clear" w:color="auto" w:fill="FFFFFF"/>
        </w:rPr>
        <w:t xml:space="preserve"> protección y conservación del lago de Atitlán en el marco del programa RUK’U’X YA</w:t>
      </w:r>
    </w:p>
    <w:p w:rsidRPr="00CE312F" w:rsidR="006E4F0C" w:rsidP="006E4F0C" w:rsidRDefault="006E4F0C" w14:paraId="1CE77CAE" w14:textId="77777777">
      <w:pPr>
        <w:shd w:val="clear" w:color="auto" w:fill="FFFFFF"/>
        <w:jc w:val="both"/>
        <w:rPr>
          <w:rFonts w:ascii="Verdana" w:hAnsi="Verdana" w:eastAsia="Times New Roman" w:cs="Segoe UI"/>
          <w:sz w:val="20"/>
          <w:szCs w:val="20"/>
          <w:lang w:val="es-ES" w:eastAsia="es-ES"/>
        </w:rPr>
      </w:pPr>
      <w:r w:rsidRPr="00CE312F">
        <w:rPr>
          <w:rFonts w:ascii="Verdana" w:hAnsi="Verdana"/>
          <w:noProof/>
          <w:sz w:val="20"/>
          <w:szCs w:val="20"/>
          <w:lang w:val="es-ES" w:eastAsia="es-ES"/>
        </w:rPr>
        <w:drawing>
          <wp:anchor distT="0" distB="0" distL="114300" distR="114300" simplePos="0" relativeHeight="251723776" behindDoc="0" locked="0" layoutInCell="1" allowOverlap="1" wp14:anchorId="575D6B0E" wp14:editId="35E0DB38">
            <wp:simplePos x="0" y="0"/>
            <wp:positionH relativeFrom="margin">
              <wp:align>right</wp:align>
            </wp:positionH>
            <wp:positionV relativeFrom="paragraph">
              <wp:posOffset>34290</wp:posOffset>
            </wp:positionV>
            <wp:extent cx="1362710" cy="1076325"/>
            <wp:effectExtent l="0" t="0" r="8890" b="9525"/>
            <wp:wrapSquare wrapText="bothSides"/>
            <wp:docPr id="1" name="Imagen 1" descr="C:\Users\Izquierdo\Desktop\informe VP\11.Firma de convenio con RUK’U’X YA\140831114_3730033413719095_81961311829906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quierdo\Desktop\informe VP\11.Firma de convenio con RUK’U’X YA\140831114_3730033413719095_81961311829906862_n.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633" t="22008" r="26624"/>
                    <a:stretch/>
                  </pic:blipFill>
                  <pic:spPr bwMode="auto">
                    <a:xfrm>
                      <a:off x="0" y="0"/>
                      <a:ext cx="136271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312F" w:rsidR="006E4F0C">
        <w:rPr>
          <w:rFonts w:ascii="Verdana" w:hAnsi="Verdana" w:eastAsia="Times New Roman" w:cs="Segoe UI"/>
          <w:sz w:val="20"/>
          <w:szCs w:val="20"/>
          <w:lang w:val="es-ES" w:eastAsia="es-ES"/>
        </w:rPr>
        <w:t xml:space="preserve">En el marco del programa RUK’U’X YA’ del Fondo de Cooperación para Agua y Saneamiento (FCAS) de la Agencia Española de Cooperación Internacional para el Desarrollo (AECID), ejecutado por Acción Contra el Hambre en colaboración con HELVETAS Swiss </w:t>
      </w:r>
      <w:proofErr w:type="spellStart"/>
      <w:r w:rsidRPr="00CE312F" w:rsidR="006E4F0C">
        <w:rPr>
          <w:rFonts w:ascii="Verdana" w:hAnsi="Verdana" w:eastAsia="Times New Roman" w:cs="Segoe UI"/>
          <w:sz w:val="20"/>
          <w:szCs w:val="20"/>
          <w:lang w:val="es-ES" w:eastAsia="es-ES"/>
        </w:rPr>
        <w:t>Intercooperation</w:t>
      </w:r>
      <w:proofErr w:type="spellEnd"/>
      <w:r w:rsidRPr="00CE312F" w:rsidR="006E4F0C">
        <w:rPr>
          <w:rFonts w:ascii="Verdana" w:hAnsi="Verdana" w:eastAsia="Times New Roman" w:cs="Segoe UI"/>
          <w:sz w:val="20"/>
          <w:szCs w:val="20"/>
          <w:lang w:val="es-ES" w:eastAsia="es-ES"/>
        </w:rPr>
        <w:t xml:space="preserve">, AMSCLAE firmó Convenio de Cooperación Interinstitucional con el objetivo de coordinar actividades relacionadas a la protección y conservación del Lago de Atitlán. </w:t>
      </w:r>
    </w:p>
    <w:p w:rsidR="009754EB" w:rsidP="0029185C" w:rsidRDefault="006E4F0C" w14:paraId="54B8CF80" w14:textId="1681D55C">
      <w:pPr>
        <w:shd w:val="clear" w:color="auto" w:fill="FFFFFF"/>
        <w:spacing w:after="0" w:line="240" w:lineRule="auto"/>
        <w:jc w:val="both"/>
        <w:rPr>
          <w:rFonts w:ascii="Verdana" w:hAnsi="Verdana" w:eastAsia="Times New Roman" w:cs="Segoe UI Historic"/>
          <w:color w:val="FF0000"/>
          <w:sz w:val="20"/>
          <w:szCs w:val="20"/>
          <w:lang w:eastAsia="es-ES"/>
        </w:rPr>
      </w:pPr>
      <w:r w:rsidRPr="00CE312F">
        <w:rPr>
          <w:rFonts w:ascii="Verdana" w:hAnsi="Verdana" w:cs="Segoe UI"/>
          <w:sz w:val="20"/>
          <w:szCs w:val="20"/>
          <w:lang w:val="es-ES" w:eastAsia="es-ES"/>
        </w:rPr>
        <w:t xml:space="preserve">El convenio </w:t>
      </w:r>
      <w:r w:rsidRPr="00CE312F">
        <w:rPr>
          <w:rFonts w:ascii="Verdana" w:hAnsi="Verdana" w:cs="Segoe UI"/>
          <w:sz w:val="20"/>
          <w:szCs w:val="20"/>
          <w:lang w:val="es-419" w:eastAsia="es-ES"/>
        </w:rPr>
        <w:t>contiene</w:t>
      </w:r>
      <w:r w:rsidRPr="00CE312F">
        <w:rPr>
          <w:rFonts w:ascii="Verdana" w:hAnsi="Verdana" w:cs="Segoe UI"/>
          <w:sz w:val="20"/>
          <w:szCs w:val="20"/>
          <w:lang w:val="es-ES" w:eastAsia="es-ES"/>
        </w:rPr>
        <w:t xml:space="preserve"> dentro de sus cláusulas</w:t>
      </w:r>
      <w:r w:rsidRPr="00CE312F">
        <w:rPr>
          <w:rFonts w:ascii="Verdana" w:hAnsi="Verdana" w:cs="Segoe UI"/>
          <w:sz w:val="20"/>
          <w:szCs w:val="20"/>
          <w:lang w:val="es-419" w:eastAsia="es-ES"/>
        </w:rPr>
        <w:t>:</w:t>
      </w:r>
      <w:r w:rsidRPr="00CE312F">
        <w:rPr>
          <w:rFonts w:ascii="Verdana" w:hAnsi="Verdana" w:cs="Segoe UI"/>
          <w:sz w:val="20"/>
          <w:szCs w:val="20"/>
          <w:lang w:val="es-ES" w:eastAsia="es-ES"/>
        </w:rPr>
        <w:t xml:space="preserve"> el fortalecimiento municipal para la gobernanza, la educación ambiental, la coordinación departamental, las acciones de </w:t>
      </w:r>
      <w:r w:rsidRPr="00CE312F">
        <w:rPr>
          <w:rFonts w:ascii="Verdana" w:hAnsi="Verdana" w:cs="Segoe UI"/>
          <w:sz w:val="20"/>
          <w:szCs w:val="20"/>
          <w:lang w:val="es-ES" w:eastAsia="es-ES"/>
        </w:rPr>
        <w:lastRenderedPageBreak/>
        <w:t xml:space="preserve">conservación, restauración y recuperación de los bosques de la cuenca y de los recursos asociados a estos para la preservación de la biodiversidad, así como para el aprovechamiento sostenible por parte de la población </w:t>
      </w:r>
      <w:proofErr w:type="spellStart"/>
      <w:r w:rsidRPr="00CE312F">
        <w:rPr>
          <w:rFonts w:ascii="Verdana" w:hAnsi="Verdana" w:cs="Segoe UI"/>
          <w:sz w:val="20"/>
          <w:szCs w:val="20"/>
          <w:lang w:val="es-ES" w:eastAsia="es-ES"/>
        </w:rPr>
        <w:t>K’iche</w:t>
      </w:r>
      <w:proofErr w:type="spellEnd"/>
      <w:r w:rsidRPr="00CE312F">
        <w:rPr>
          <w:rFonts w:ascii="Verdana" w:hAnsi="Verdana" w:cs="Segoe UI"/>
          <w:sz w:val="20"/>
          <w:szCs w:val="20"/>
          <w:lang w:val="es-ES" w:eastAsia="es-ES"/>
        </w:rPr>
        <w:t xml:space="preserve">’, Kaqchikel, </w:t>
      </w:r>
      <w:proofErr w:type="spellStart"/>
      <w:r w:rsidRPr="00CE312F">
        <w:rPr>
          <w:rFonts w:ascii="Verdana" w:hAnsi="Verdana" w:cs="Segoe UI"/>
          <w:sz w:val="20"/>
          <w:szCs w:val="20"/>
          <w:lang w:val="es-ES" w:eastAsia="es-ES"/>
        </w:rPr>
        <w:t>Tz’utujil</w:t>
      </w:r>
      <w:proofErr w:type="spellEnd"/>
      <w:r w:rsidRPr="00CE312F">
        <w:rPr>
          <w:rFonts w:ascii="Verdana" w:hAnsi="Verdana" w:cs="Segoe UI"/>
          <w:sz w:val="20"/>
          <w:szCs w:val="20"/>
          <w:lang w:val="es-ES" w:eastAsia="es-ES"/>
        </w:rPr>
        <w:t xml:space="preserve"> y Mestiza.</w:t>
      </w:r>
    </w:p>
    <w:p w:rsidR="009536C8" w:rsidP="0029185C" w:rsidRDefault="009536C8" w14:paraId="7965C89D" w14:textId="50CE21C0">
      <w:pPr>
        <w:shd w:val="clear" w:color="auto" w:fill="FFFFFF"/>
        <w:spacing w:after="0" w:line="240" w:lineRule="auto"/>
        <w:jc w:val="both"/>
        <w:rPr>
          <w:rFonts w:ascii="Verdana" w:hAnsi="Verdana" w:eastAsia="Times New Roman" w:cs="Segoe UI Historic"/>
          <w:color w:val="FF0000"/>
          <w:sz w:val="20"/>
          <w:szCs w:val="20"/>
          <w:lang w:eastAsia="es-ES"/>
        </w:rPr>
      </w:pPr>
    </w:p>
    <w:p w:rsidR="009536C8" w:rsidP="00FF2382" w:rsidRDefault="00FF2382" w14:paraId="0EF1A030" w14:textId="1AB53EC4">
      <w:pPr>
        <w:shd w:val="clear" w:color="auto" w:fill="FFFFFF"/>
        <w:spacing w:after="0" w:line="240" w:lineRule="auto"/>
        <w:jc w:val="center"/>
        <w:rPr>
          <w:rFonts w:ascii="Verdana" w:hAnsi="Verdana" w:eastAsia="Times New Roman" w:cs="Segoe UI Historic"/>
          <w:color w:val="FF0000"/>
          <w:sz w:val="20"/>
          <w:szCs w:val="20"/>
          <w:lang w:eastAsia="es-ES"/>
        </w:rPr>
      </w:pPr>
      <w:r>
        <w:rPr>
          <w:noProof/>
        </w:rPr>
        <w:drawing>
          <wp:inline distT="0" distB="0" distL="0" distR="0" wp14:anchorId="36359682" wp14:editId="10D0FB9C">
            <wp:extent cx="2428875" cy="1979295"/>
            <wp:effectExtent l="0" t="0" r="9525" b="1905"/>
            <wp:docPr id="15" name="Imagen 15"/>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36">
                      <a:extLst>
                        <a:ext uri="{28A0092B-C50C-407E-A947-70E740481C1C}">
                          <a14:useLocalDpi xmlns:a14="http://schemas.microsoft.com/office/drawing/2010/main" val="0"/>
                        </a:ext>
                      </a:extLst>
                    </a:blip>
                    <a:srcRect r="31488"/>
                    <a:stretch/>
                  </pic:blipFill>
                  <pic:spPr bwMode="auto">
                    <a:xfrm>
                      <a:off x="0" y="0"/>
                      <a:ext cx="2428875" cy="1979295"/>
                    </a:xfrm>
                    <a:prstGeom prst="rect">
                      <a:avLst/>
                    </a:prstGeom>
                    <a:noFill/>
                    <a:ln>
                      <a:noFill/>
                    </a:ln>
                    <a:extLst>
                      <a:ext uri="{53640926-AAD7-44D8-BBD7-CCE9431645EC}">
                        <a14:shadowObscured xmlns:a14="http://schemas.microsoft.com/office/drawing/2010/main"/>
                      </a:ext>
                    </a:extLst>
                  </pic:spPr>
                </pic:pic>
              </a:graphicData>
            </a:graphic>
          </wp:inline>
        </w:drawing>
      </w:r>
      <w:r w:rsidR="009536C8">
        <w:rPr>
          <w:noProof/>
        </w:rPr>
        <w:drawing>
          <wp:inline distT="0" distB="0" distL="0" distR="0" wp14:anchorId="19F5A19A" wp14:editId="17ABD666">
            <wp:extent cx="535305" cy="1979295"/>
            <wp:effectExtent l="0" t="0" r="0" b="1905"/>
            <wp:docPr id="4" name="Imagen 4"/>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36">
                      <a:extLst>
                        <a:ext uri="{28A0092B-C50C-407E-A947-70E740481C1C}">
                          <a14:useLocalDpi xmlns:a14="http://schemas.microsoft.com/office/drawing/2010/main" val="0"/>
                        </a:ext>
                      </a:extLst>
                    </a:blip>
                    <a:srcRect l="84901"/>
                    <a:stretch/>
                  </pic:blipFill>
                  <pic:spPr bwMode="auto">
                    <a:xfrm>
                      <a:off x="0" y="0"/>
                      <a:ext cx="535305" cy="1979295"/>
                    </a:xfrm>
                    <a:prstGeom prst="rect">
                      <a:avLst/>
                    </a:prstGeom>
                    <a:noFill/>
                    <a:ln>
                      <a:noFill/>
                    </a:ln>
                    <a:extLst>
                      <a:ext uri="{53640926-AAD7-44D8-BBD7-CCE9431645EC}">
                        <a14:shadowObscured xmlns:a14="http://schemas.microsoft.com/office/drawing/2010/main"/>
                      </a:ext>
                    </a:extLst>
                  </pic:spPr>
                </pic:pic>
              </a:graphicData>
            </a:graphic>
          </wp:inline>
        </w:drawing>
      </w:r>
    </w:p>
    <w:p w:rsidR="009536C8" w:rsidP="0029185C" w:rsidRDefault="009536C8" w14:paraId="7B0A9D8D" w14:textId="614B331D">
      <w:pPr>
        <w:shd w:val="clear" w:color="auto" w:fill="FFFFFF"/>
        <w:spacing w:after="0" w:line="240" w:lineRule="auto"/>
        <w:jc w:val="both"/>
        <w:rPr>
          <w:rFonts w:ascii="Verdana" w:hAnsi="Verdana" w:eastAsia="Times New Roman" w:cs="Segoe UI Historic"/>
          <w:color w:val="FF0000"/>
          <w:sz w:val="20"/>
          <w:szCs w:val="20"/>
          <w:lang w:eastAsia="es-ES"/>
        </w:rPr>
      </w:pPr>
    </w:p>
    <w:p w:rsidR="009536C8" w:rsidP="0029185C" w:rsidRDefault="009536C8" w14:paraId="1CF4DA58" w14:textId="786930A4">
      <w:pPr>
        <w:shd w:val="clear" w:color="auto" w:fill="FFFFFF"/>
        <w:spacing w:after="0" w:line="240" w:lineRule="auto"/>
        <w:jc w:val="both"/>
        <w:rPr>
          <w:rFonts w:ascii="Verdana" w:hAnsi="Verdana" w:eastAsia="Times New Roman" w:cs="Segoe UI Historic"/>
          <w:color w:val="FF0000"/>
          <w:sz w:val="20"/>
          <w:szCs w:val="20"/>
          <w:lang w:eastAsia="es-ES"/>
        </w:rPr>
      </w:pPr>
    </w:p>
    <w:p w:rsidR="00FF2382" w:rsidP="00FF2382" w:rsidRDefault="00FF2382" w14:paraId="05581B33" w14:textId="2214E42A">
      <w:pPr>
        <w:jc w:val="both"/>
        <w:rPr>
          <w:b/>
          <w:bCs/>
        </w:rPr>
      </w:pPr>
      <w:r>
        <w:rPr>
          <w:b/>
          <w:bCs/>
        </w:rPr>
        <w:t>OTRAS INTERVENCIONES:</w:t>
      </w:r>
    </w:p>
    <w:p w:rsidRPr="00FF2382" w:rsidR="00FF2382" w:rsidP="00FF2382" w:rsidRDefault="00FF2382" w14:paraId="2018189E" w14:textId="77777777">
      <w:pPr>
        <w:pStyle w:val="Prrafodelista"/>
        <w:numPr>
          <w:ilvl w:val="0"/>
          <w:numId w:val="34"/>
        </w:numPr>
        <w:spacing w:line="256" w:lineRule="auto"/>
        <w:jc w:val="both"/>
      </w:pPr>
      <w:r w:rsidRPr="00FF2382">
        <w:t xml:space="preserve">Taller de fortalecimiento a docentes del nivel preprimario de la cuenca en temas del CNB en el área de medio social y natural. </w:t>
      </w:r>
    </w:p>
    <w:p w:rsidRPr="00FF2382" w:rsidR="00FF2382" w:rsidP="00FF2382" w:rsidRDefault="00FF2382" w14:paraId="57753BDD" w14:textId="77777777">
      <w:pPr>
        <w:pStyle w:val="Prrafodelista"/>
        <w:numPr>
          <w:ilvl w:val="0"/>
          <w:numId w:val="34"/>
        </w:numPr>
        <w:spacing w:line="256" w:lineRule="auto"/>
        <w:jc w:val="both"/>
      </w:pPr>
      <w:r w:rsidRPr="00FF2382">
        <w:t xml:space="preserve">Diseño, elaboración, impresión y distribución de material educativo de las etapas de 5 y6 años en temas ambientales. </w:t>
      </w:r>
    </w:p>
    <w:p w:rsidRPr="00FF2382" w:rsidR="00FF2382" w:rsidP="00BB7997" w:rsidRDefault="00FF2382" w14:paraId="570DE3A8" w14:textId="77777777">
      <w:pPr>
        <w:pStyle w:val="Prrafodelista"/>
        <w:numPr>
          <w:ilvl w:val="0"/>
          <w:numId w:val="34"/>
        </w:numPr>
        <w:shd w:val="clear" w:color="auto" w:fill="FFFFFF"/>
        <w:spacing w:after="0" w:line="240" w:lineRule="auto"/>
        <w:jc w:val="both"/>
        <w:rPr>
          <w:rFonts w:ascii="Verdana" w:hAnsi="Verdana" w:eastAsia="Times New Roman" w:cs="Segoe UI Historic"/>
          <w:sz w:val="20"/>
          <w:szCs w:val="20"/>
          <w:lang w:eastAsia="es-ES"/>
        </w:rPr>
      </w:pPr>
      <w:r w:rsidRPr="00FF2382">
        <w:t xml:space="preserve">Feria educativa comunitaria en Concepción, Sololá. </w:t>
      </w:r>
    </w:p>
    <w:p w:rsidRPr="00FF2382" w:rsidR="009536C8" w:rsidP="00BB7997" w:rsidRDefault="00FF2382" w14:paraId="767BF923" w14:textId="5EA76656">
      <w:pPr>
        <w:pStyle w:val="Prrafodelista"/>
        <w:numPr>
          <w:ilvl w:val="0"/>
          <w:numId w:val="34"/>
        </w:numPr>
        <w:shd w:val="clear" w:color="auto" w:fill="FFFFFF"/>
        <w:spacing w:after="0" w:line="240" w:lineRule="auto"/>
        <w:jc w:val="both"/>
        <w:rPr>
          <w:rFonts w:ascii="Verdana" w:hAnsi="Verdana" w:eastAsia="Times New Roman" w:cs="Segoe UI Historic"/>
          <w:sz w:val="20"/>
          <w:szCs w:val="20"/>
          <w:lang w:eastAsia="es-ES"/>
        </w:rPr>
      </w:pPr>
      <w:r w:rsidRPr="00FF2382">
        <w:t>5 jornadas ambientales (perifoneo y comercios) en los municipios de Santiago Atitlán, Panajachel, San Antonio Palopó y San Jorge la Laguna.</w:t>
      </w:r>
    </w:p>
    <w:p w:rsidR="009754EB" w:rsidP="0029185C" w:rsidRDefault="009754EB" w14:paraId="1E5BB2D9" w14:textId="3EE8E36F">
      <w:pPr>
        <w:shd w:val="clear" w:color="auto" w:fill="FFFFFF"/>
        <w:spacing w:after="0" w:line="240" w:lineRule="auto"/>
        <w:jc w:val="both"/>
        <w:rPr>
          <w:rFonts w:ascii="Verdana" w:hAnsi="Verdana" w:eastAsia="Times New Roman" w:cs="Segoe UI Historic"/>
          <w:color w:val="050505"/>
          <w:sz w:val="20"/>
          <w:szCs w:val="20"/>
          <w:lang w:eastAsia="es-ES"/>
        </w:rPr>
      </w:pPr>
    </w:p>
    <w:p w:rsidRPr="0029185C" w:rsidR="007A2694" w:rsidP="005F67D2" w:rsidRDefault="006375BF" w14:paraId="49B199F2" w14:textId="43B004E3">
      <w:pPr>
        <w:pStyle w:val="Sinespaciado"/>
        <w:ind w:left="-644" w:right="-660"/>
        <w:rPr>
          <w:rFonts w:ascii="Verdana" w:hAnsi="Verdana" w:cs="Arial"/>
          <w:b/>
          <w:bCs/>
          <w:sz w:val="20"/>
          <w:szCs w:val="20"/>
        </w:rPr>
      </w:pPr>
      <w:r w:rsidRPr="006306A4">
        <w:rPr>
          <w:rFonts w:ascii="Verdana" w:hAnsi="Verdana" w:cs="Arial"/>
          <w:b/>
          <w:bCs/>
          <w:sz w:val="20"/>
          <w:szCs w:val="20"/>
        </w:rPr>
        <w:t>COMPONENTE DE FOMENTO ECONÓMIC</w:t>
      </w:r>
      <w:r w:rsidRPr="006306A4" w:rsidR="00264CBD">
        <w:rPr>
          <w:rFonts w:ascii="Verdana" w:hAnsi="Verdana" w:cs="Arial"/>
          <w:b/>
          <w:bCs/>
          <w:sz w:val="20"/>
          <w:szCs w:val="20"/>
        </w:rPr>
        <w:t>O Y DESARROLLO SUSTENTABLE</w:t>
      </w:r>
    </w:p>
    <w:p w:rsidR="00831B60" w:rsidP="005F67D2" w:rsidRDefault="00831B60" w14:paraId="7460947A" w14:textId="382D02DC">
      <w:pPr>
        <w:pStyle w:val="Sinespaciado"/>
        <w:ind w:left="-644" w:right="-660"/>
        <w:rPr>
          <w:rFonts w:ascii="Verdana" w:hAnsi="Verdana" w:cs="Arial"/>
          <w:sz w:val="20"/>
          <w:szCs w:val="20"/>
        </w:rPr>
      </w:pPr>
    </w:p>
    <w:p w:rsidR="0029185C" w:rsidP="0029185C" w:rsidRDefault="00831B60" w14:paraId="19ECA8ED" w14:textId="77777777">
      <w:pPr>
        <w:shd w:val="clear" w:color="auto" w:fill="FFFFFF"/>
        <w:rPr>
          <w:rFonts w:ascii="Verdana" w:hAnsi="Verdana" w:cs="Arial"/>
          <w:b/>
          <w:color w:val="000000" w:themeColor="text1"/>
          <w:sz w:val="20"/>
          <w:szCs w:val="20"/>
          <w:lang w:val="es-419"/>
        </w:rPr>
      </w:pPr>
      <w:r w:rsidRPr="00831B60">
        <w:rPr>
          <w:rFonts w:ascii="Verdana" w:hAnsi="Verdana" w:cs="Arial"/>
          <w:b/>
          <w:color w:val="000000" w:themeColor="text1"/>
          <w:sz w:val="20"/>
          <w:szCs w:val="20"/>
          <w:lang w:val="es-419"/>
        </w:rPr>
        <w:t>AMSCLAE impulsa “Tour del Tul Atitlán”</w:t>
      </w:r>
    </w:p>
    <w:p w:rsidR="00E63943" w:rsidP="0029185C" w:rsidRDefault="00831B60" w14:paraId="57577C42" w14:textId="48D2CA04">
      <w:pPr>
        <w:shd w:val="clear" w:color="auto" w:fill="FFFFFF"/>
        <w:jc w:val="both"/>
        <w:rPr>
          <w:rFonts w:ascii="Verdana" w:hAnsi="Verdana" w:cs="Arial"/>
          <w:color w:val="000000" w:themeColor="text1"/>
          <w:sz w:val="20"/>
          <w:szCs w:val="20"/>
          <w:lang w:val="es-419"/>
        </w:rPr>
      </w:pPr>
      <w:r w:rsidRPr="00831B60">
        <w:rPr>
          <w:rFonts w:ascii="Verdana" w:hAnsi="Verdana" w:cs="Arial"/>
          <w:noProof/>
          <w:color w:val="000000" w:themeColor="text1"/>
          <w:sz w:val="20"/>
          <w:szCs w:val="20"/>
          <w:lang w:eastAsia="es-ES"/>
        </w:rPr>
        <w:t>AMSCLAE</w:t>
      </w:r>
      <w:r w:rsidRPr="00831B60">
        <w:rPr>
          <w:rFonts w:ascii="Verdana" w:hAnsi="Verdana" w:cs="Arial"/>
          <w:color w:val="000000" w:themeColor="text1"/>
          <w:sz w:val="20"/>
          <w:szCs w:val="20"/>
        </w:rPr>
        <w:t xml:space="preserve"> en coordinación con</w:t>
      </w:r>
      <w:r w:rsidRPr="00831B60">
        <w:rPr>
          <w:rFonts w:ascii="Verdana" w:hAnsi="Verdana" w:cs="Arial"/>
          <w:color w:val="000000" w:themeColor="text1"/>
          <w:sz w:val="20"/>
          <w:szCs w:val="20"/>
          <w:lang w:val="es-419"/>
        </w:rPr>
        <w:t xml:space="preserve"> el Instituto Guatemalteco de Turismo</w:t>
      </w:r>
      <w:r w:rsidRPr="00831B60">
        <w:rPr>
          <w:rFonts w:ascii="Verdana" w:hAnsi="Verdana" w:cs="Arial"/>
          <w:color w:val="000000" w:themeColor="text1"/>
          <w:sz w:val="20"/>
          <w:szCs w:val="20"/>
        </w:rPr>
        <w:t>, el Centro de Estudios Atitlán de la Universidad del Valle y el Comité de Tuleros de Santiago Atitlán, realizaron la primera prueba piloto del recorrido denominado “Tour del Tul Atitlán”, el cual tiene por objetivo dar a conocer la importancia del tul en el ecosistema del Lago Atitlán, además de propiciar el turismo vivencial, para conocer desde la perspectiva de los Tuleros</w:t>
      </w:r>
      <w:r w:rsidRPr="00831B60">
        <w:rPr>
          <w:rFonts w:ascii="Verdana" w:hAnsi="Verdana" w:cs="Arial"/>
          <w:color w:val="000000" w:themeColor="text1"/>
          <w:sz w:val="20"/>
          <w:szCs w:val="20"/>
          <w:lang w:val="es-419"/>
        </w:rPr>
        <w:t>,</w:t>
      </w:r>
      <w:r w:rsidRPr="00831B60">
        <w:rPr>
          <w:rFonts w:ascii="Verdana" w:hAnsi="Verdana" w:cs="Arial"/>
          <w:color w:val="000000" w:themeColor="text1"/>
          <w:sz w:val="20"/>
          <w:szCs w:val="20"/>
        </w:rPr>
        <w:t xml:space="preserve"> el mensaje de respeto y conciencia</w:t>
      </w:r>
      <w:r w:rsidRPr="00831B60">
        <w:rPr>
          <w:rFonts w:ascii="Verdana" w:hAnsi="Verdana" w:cs="Arial"/>
          <w:color w:val="000000" w:themeColor="text1"/>
          <w:sz w:val="20"/>
          <w:szCs w:val="20"/>
          <w:lang w:val="es-419"/>
        </w:rPr>
        <w:t xml:space="preserve">. </w:t>
      </w:r>
    </w:p>
    <w:p w:rsidR="0029185C" w:rsidP="0029185C" w:rsidRDefault="0029185C" w14:paraId="11775BBF" w14:textId="599CD870">
      <w:pPr>
        <w:shd w:val="clear" w:color="auto" w:fill="FFFFFF"/>
        <w:rPr>
          <w:rFonts w:ascii="Verdana" w:hAnsi="Verdana" w:cs="Arial"/>
          <w:color w:val="000000" w:themeColor="text1"/>
          <w:sz w:val="20"/>
          <w:szCs w:val="20"/>
          <w:lang w:val="es-419"/>
        </w:rPr>
      </w:pPr>
      <w:r w:rsidRPr="00831B60">
        <w:rPr>
          <w:rFonts w:ascii="Verdana" w:hAnsi="Verdana" w:cs="Arial"/>
          <w:noProof/>
          <w:color w:val="000000" w:themeColor="text1"/>
          <w:sz w:val="20"/>
          <w:szCs w:val="20"/>
          <w:lang w:val="es-ES" w:eastAsia="es-ES"/>
        </w:rPr>
        <w:lastRenderedPageBreak/>
        <w:drawing>
          <wp:anchor distT="0" distB="0" distL="114300" distR="114300" simplePos="0" relativeHeight="251704320" behindDoc="0" locked="0" layoutInCell="1" allowOverlap="1" wp14:anchorId="11651F79" wp14:editId="500EE773">
            <wp:simplePos x="0" y="0"/>
            <wp:positionH relativeFrom="margin">
              <wp:align>right</wp:align>
            </wp:positionH>
            <wp:positionV relativeFrom="paragraph">
              <wp:posOffset>130810</wp:posOffset>
            </wp:positionV>
            <wp:extent cx="1336675" cy="1002030"/>
            <wp:effectExtent l="0" t="0" r="0" b="7620"/>
            <wp:wrapSquare wrapText="bothSides"/>
            <wp:docPr id="9" name="Imagen 9" descr="C:\Users\Izquierdo\Desktop\Fotografias para VIcepresidencia\Tour del Tul Atitlán\7dbd5f66-3406-439a-adfa-357da2e5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zquierdo\Desktop\Fotografias para VIcepresidencia\Tour del Tul Atitlán\7dbd5f66-3406-439a-adfa-357da2e5148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667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4A165DB5">
        <w:rPr/>
        <w:t/>
      </w:r>
      <w:r w:rsidR="5DAC0B5F">
        <w:rPr/>
        <w:t/>
      </w:r>
    </w:p>
    <w:p w:rsidRPr="00831B60" w:rsidR="00831B60" w:rsidP="00831B60" w:rsidRDefault="00831B60" w14:paraId="175BD339" w14:textId="217CAC9E">
      <w:pPr>
        <w:shd w:val="clear" w:color="auto" w:fill="FFFFFF"/>
        <w:jc w:val="both"/>
        <w:rPr>
          <w:rFonts w:ascii="Verdana" w:hAnsi="Verdana" w:cs="Arial"/>
          <w:color w:val="000000" w:themeColor="text1"/>
          <w:sz w:val="20"/>
          <w:szCs w:val="20"/>
        </w:rPr>
      </w:pPr>
      <w:r w:rsidRPr="00831B60">
        <w:rPr>
          <w:rFonts w:ascii="Verdana" w:hAnsi="Verdana" w:cs="Arial"/>
          <w:color w:val="000000" w:themeColor="text1"/>
          <w:sz w:val="20"/>
          <w:szCs w:val="20"/>
          <w:lang w:val="es-419"/>
        </w:rPr>
        <w:t>Cabe resaltar que este proyecto será una realidad en el 2021 a través de un lanzamiento oficial con los actores involucrados y estará disponible para el turismo nacional e internacional, el cual beneficiará e</w:t>
      </w:r>
      <w:r w:rsidRPr="00831B60">
        <w:rPr>
          <w:rFonts w:ascii="Verdana" w:hAnsi="Verdana" w:cs="Arial"/>
          <w:color w:val="000000" w:themeColor="text1"/>
          <w:sz w:val="20"/>
          <w:szCs w:val="20"/>
        </w:rPr>
        <w:t xml:space="preserve"> impulsar</w:t>
      </w:r>
      <w:r w:rsidRPr="00831B60">
        <w:rPr>
          <w:rFonts w:ascii="Verdana" w:hAnsi="Verdana" w:cs="Arial"/>
          <w:color w:val="000000" w:themeColor="text1"/>
          <w:sz w:val="20"/>
          <w:szCs w:val="20"/>
          <w:lang w:val="es-419"/>
        </w:rPr>
        <w:t xml:space="preserve">á </w:t>
      </w:r>
      <w:r w:rsidRPr="00831B60">
        <w:rPr>
          <w:rFonts w:ascii="Verdana" w:hAnsi="Verdana" w:cs="Arial"/>
          <w:color w:val="000000" w:themeColor="text1"/>
          <w:sz w:val="20"/>
          <w:szCs w:val="20"/>
        </w:rPr>
        <w:t xml:space="preserve">el desarrollo y conocimiento ancestral de los pueblos </w:t>
      </w:r>
      <w:proofErr w:type="spellStart"/>
      <w:r w:rsidRPr="00831B60">
        <w:rPr>
          <w:rFonts w:ascii="Verdana" w:hAnsi="Verdana" w:cs="Arial"/>
          <w:color w:val="000000" w:themeColor="text1"/>
          <w:sz w:val="20"/>
          <w:szCs w:val="20"/>
        </w:rPr>
        <w:t>Tzutujiles</w:t>
      </w:r>
      <w:proofErr w:type="spellEnd"/>
      <w:r w:rsidRPr="00831B60">
        <w:rPr>
          <w:rFonts w:ascii="Verdana" w:hAnsi="Verdana" w:cs="Arial"/>
          <w:color w:val="000000" w:themeColor="text1"/>
          <w:sz w:val="20"/>
          <w:szCs w:val="20"/>
        </w:rPr>
        <w:t xml:space="preserve"> de la cuenca de Atitlán.</w:t>
      </w:r>
    </w:p>
    <w:p w:rsidRPr="00831B60" w:rsidR="00831B60" w:rsidP="00831B60" w:rsidRDefault="0029185C" w14:paraId="6E6193D7" w14:textId="46F6FFA4">
      <w:pPr>
        <w:shd w:val="clear" w:color="auto" w:fill="FFFFFF"/>
        <w:jc w:val="both"/>
        <w:rPr>
          <w:rFonts w:ascii="Verdana" w:hAnsi="Verdana" w:cs="Arial"/>
          <w:sz w:val="20"/>
          <w:szCs w:val="20"/>
        </w:rPr>
      </w:pPr>
      <w:r w:rsidRPr="00831B60">
        <w:rPr>
          <w:rFonts w:ascii="Verdana" w:hAnsi="Verdana" w:cs="Arial"/>
          <w:noProof/>
          <w:color w:val="000000" w:themeColor="text1"/>
          <w:sz w:val="20"/>
          <w:szCs w:val="20"/>
          <w:lang w:val="es-ES" w:eastAsia="es-ES"/>
        </w:rPr>
        <w:drawing>
          <wp:anchor distT="0" distB="0" distL="114300" distR="114300" simplePos="0" relativeHeight="251705344" behindDoc="0" locked="0" layoutInCell="1" allowOverlap="1" wp14:anchorId="6A685EF4" wp14:editId="58B71AA6">
            <wp:simplePos x="0" y="0"/>
            <wp:positionH relativeFrom="margin">
              <wp:posOffset>4365625</wp:posOffset>
            </wp:positionH>
            <wp:positionV relativeFrom="paragraph">
              <wp:posOffset>10795</wp:posOffset>
            </wp:positionV>
            <wp:extent cx="1337310" cy="827405"/>
            <wp:effectExtent l="0" t="0" r="0" b="0"/>
            <wp:wrapSquare wrapText="bothSides"/>
            <wp:docPr id="20" name="Imagen 20" descr="C:\Users\Izquierdo\Desktop\Fotografias para VIcepresidencia\Tour del Tul Atitlán\abb6ce58-df73-4ea9-8797-8deae520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zquierdo\Desktop\Fotografias para VIcepresidencia\Tour del Tul Atitlán\abb6ce58-df73-4ea9-8797-8deae520698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431"/>
                    <a:stretch/>
                  </pic:blipFill>
                  <pic:spPr bwMode="auto">
                    <a:xfrm>
                      <a:off x="0" y="0"/>
                      <a:ext cx="133731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1B60" w:rsidR="00831B60">
        <w:rPr>
          <w:rFonts w:ascii="Verdana" w:hAnsi="Verdana" w:cs="Arial"/>
          <w:color w:val="000000" w:themeColor="text1"/>
          <w:sz w:val="20"/>
          <w:szCs w:val="20"/>
        </w:rPr>
        <w:t xml:space="preserve">Durante el recorrido, miembros del comité explicaron los beneficios del tul, siendo una fuente de oxigenación natural y hábitat de varias especies nativas del área, así como el proceso de plantación y cosecha para la elaboración de artesanías con tul, que son medio de sustento de la economía local de los pueblos ancestrales. </w:t>
      </w:r>
    </w:p>
    <w:p w:rsidRPr="00831B60" w:rsidR="005B346F" w:rsidP="005F67D2" w:rsidRDefault="005B346F" w14:paraId="0F5BC705" w14:textId="0FD31DF6">
      <w:pPr>
        <w:pStyle w:val="Sinespaciado"/>
        <w:ind w:left="-644" w:right="-660"/>
        <w:rPr>
          <w:rFonts w:ascii="Verdana" w:hAnsi="Verdana" w:cs="Arial"/>
          <w:sz w:val="20"/>
          <w:szCs w:val="20"/>
        </w:rPr>
      </w:pPr>
    </w:p>
    <w:p w:rsidRPr="0029185C" w:rsidR="0029185C" w:rsidP="0029185C" w:rsidRDefault="0029185C" w14:paraId="699FE242" w14:textId="63E92381">
      <w:pPr>
        <w:shd w:val="clear" w:color="auto" w:fill="FFFFFF"/>
        <w:spacing w:after="0" w:line="240" w:lineRule="auto"/>
        <w:rPr>
          <w:rFonts w:ascii="Verdana" w:hAnsi="Verdana" w:eastAsia="Times New Roman" w:cs="Segoe UI Historic"/>
          <w:b/>
          <w:color w:val="050505"/>
          <w:sz w:val="20"/>
          <w:szCs w:val="20"/>
          <w:lang w:eastAsia="es-ES"/>
        </w:rPr>
      </w:pPr>
      <w:r w:rsidRPr="0029185C">
        <w:rPr>
          <w:rFonts w:ascii="Verdana" w:hAnsi="Verdana" w:eastAsia="Times New Roman" w:cs="Segoe UI Historic"/>
          <w:b/>
          <w:color w:val="050505"/>
          <w:sz w:val="20"/>
          <w:szCs w:val="20"/>
          <w:lang w:eastAsia="es-ES"/>
        </w:rPr>
        <w:t>AMSCLAE promueve el uso de abono orgánico en la cuenca de Atitlán</w:t>
      </w:r>
    </w:p>
    <w:p w:rsidRPr="0029185C" w:rsidR="0029185C" w:rsidP="0029185C" w:rsidRDefault="0029185C" w14:paraId="35B7EEF8" w14:textId="6DA2E054">
      <w:pPr>
        <w:shd w:val="clear" w:color="auto" w:fill="FFFFFF"/>
        <w:spacing w:after="0" w:line="240" w:lineRule="auto"/>
        <w:jc w:val="both"/>
        <w:rPr>
          <w:rFonts w:ascii="Verdana" w:hAnsi="Verdana" w:eastAsia="Times New Roman" w:cs="Segoe UI Historic"/>
          <w:color w:val="050505"/>
          <w:sz w:val="20"/>
          <w:szCs w:val="20"/>
          <w:lang w:eastAsia="es-ES"/>
        </w:rPr>
      </w:pPr>
    </w:p>
    <w:p w:rsidRPr="0029185C" w:rsidR="0029185C" w:rsidP="0029185C" w:rsidRDefault="0029185C" w14:paraId="6C5776A2" w14:textId="0210C79A">
      <w:pPr>
        <w:shd w:val="clear" w:color="auto" w:fill="FFFFFF"/>
        <w:spacing w:after="0" w:line="240" w:lineRule="auto"/>
        <w:jc w:val="both"/>
        <w:rPr>
          <w:rFonts w:ascii="Verdana" w:hAnsi="Verdana" w:eastAsia="Times New Roman" w:cs="Segoe UI Historic"/>
          <w:color w:val="050505"/>
          <w:sz w:val="20"/>
          <w:szCs w:val="20"/>
          <w:lang w:eastAsia="es-ES"/>
        </w:rPr>
      </w:pPr>
      <w:r>
        <w:rPr>
          <w:noProof/>
        </w:rPr>
        <w:drawing>
          <wp:anchor distT="0" distB="0" distL="114300" distR="114300" simplePos="0" relativeHeight="251715584" behindDoc="0" locked="0" layoutInCell="1" allowOverlap="1" wp14:anchorId="402577BC" wp14:editId="27B4CF0D">
            <wp:simplePos x="0" y="0"/>
            <wp:positionH relativeFrom="margin">
              <wp:posOffset>3845560</wp:posOffset>
            </wp:positionH>
            <wp:positionV relativeFrom="paragraph">
              <wp:posOffset>13970</wp:posOffset>
            </wp:positionV>
            <wp:extent cx="1913255" cy="107632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325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85C" w:rsidR="0029185C">
        <w:rPr>
          <w:rFonts w:ascii="Verdana" w:hAnsi="Verdana" w:eastAsia="Times New Roman" w:cs="Segoe UI Historic"/>
          <w:color w:val="050505"/>
          <w:sz w:val="20"/>
          <w:szCs w:val="20"/>
          <w:lang w:eastAsia="es-ES"/>
        </w:rPr>
        <w:t>Con el objetivo de socializar y promover el uso del abono orgánico en la población de la cuenca de lago de Atitlán, se realizó la segunda venta del compost denominado “Mejorador de Suelos”, en el Centro de Mayoreo de Sololá.</w:t>
      </w:r>
    </w:p>
    <w:p w:rsidRPr="0029185C" w:rsidR="0029185C" w:rsidP="0029185C" w:rsidRDefault="0029185C" w14:paraId="726F1D2F" w14:textId="77777777">
      <w:pPr>
        <w:shd w:val="clear" w:color="auto" w:fill="FFFFFF"/>
        <w:spacing w:after="0" w:line="240" w:lineRule="auto"/>
        <w:jc w:val="both"/>
        <w:rPr>
          <w:rFonts w:ascii="Verdana" w:hAnsi="Verdana" w:eastAsia="Times New Roman" w:cs="Segoe UI Historic"/>
          <w:color w:val="050505"/>
          <w:sz w:val="20"/>
          <w:szCs w:val="20"/>
          <w:lang w:eastAsia="es-ES"/>
        </w:rPr>
      </w:pPr>
    </w:p>
    <w:p w:rsidRPr="0029185C" w:rsidR="0029185C" w:rsidP="0029185C" w:rsidRDefault="0029185C" w14:paraId="2BBF897D" w14:textId="77777777">
      <w:pPr>
        <w:shd w:val="clear" w:color="auto" w:fill="FFFFFF"/>
        <w:spacing w:after="0" w:line="240" w:lineRule="auto"/>
        <w:jc w:val="both"/>
        <w:rPr>
          <w:rFonts w:ascii="Verdana" w:hAnsi="Verdana" w:eastAsia="Times New Roman" w:cs="Segoe UI Historic"/>
          <w:color w:val="050505"/>
          <w:sz w:val="20"/>
          <w:szCs w:val="20"/>
          <w:lang w:eastAsia="es-ES"/>
        </w:rPr>
      </w:pPr>
      <w:r w:rsidRPr="0029185C">
        <w:rPr>
          <w:rFonts w:ascii="Verdana" w:hAnsi="Verdana" w:eastAsia="Times New Roman" w:cs="Segoe UI Historic"/>
          <w:color w:val="050505"/>
          <w:sz w:val="20"/>
          <w:szCs w:val="20"/>
          <w:lang w:eastAsia="es-ES"/>
        </w:rPr>
        <w:t>Este abono es producido por operarios de las Plantas de Tratamiento de Residuos Sólidos de Panajachel, San Jorge La Laguna y Sololá, tras un proceso de compostaje de los residuos orgánicos que reciben diariamente, en este sentido, técnicos de AMSCLAE y del Ministerio de Agricultura Ganadería y Alimentación, han capacitado a los operarios para la obtención de este abono, que es de gran beneficio por sus propiedades agronómicas y que su vez contribuyen a la autosostenibilidad de las plantas de tratamiento.</w:t>
      </w:r>
    </w:p>
    <w:p w:rsidRPr="0029185C" w:rsidR="0029185C" w:rsidP="0029185C" w:rsidRDefault="0029185C" w14:paraId="6E0A4C29" w14:textId="77777777">
      <w:pPr>
        <w:pStyle w:val="Prrafodelista"/>
        <w:shd w:val="clear" w:color="auto" w:fill="FFFFFF"/>
        <w:spacing w:after="0" w:line="240" w:lineRule="auto"/>
        <w:jc w:val="both"/>
        <w:rPr>
          <w:rFonts w:ascii="Verdana" w:hAnsi="Verdana" w:eastAsia="Times New Roman" w:cs="Segoe UI Historic"/>
          <w:color w:val="050505"/>
          <w:sz w:val="20"/>
          <w:szCs w:val="20"/>
          <w:lang w:eastAsia="es-ES"/>
        </w:rPr>
      </w:pPr>
    </w:p>
    <w:p w:rsidRPr="0029185C" w:rsidR="0029185C" w:rsidP="0029185C" w:rsidRDefault="0029185C" w14:paraId="1C18B33D" w14:textId="77777777">
      <w:pPr>
        <w:shd w:val="clear" w:color="auto" w:fill="FFFFFF"/>
        <w:spacing w:after="0" w:line="240" w:lineRule="auto"/>
        <w:jc w:val="both"/>
        <w:rPr>
          <w:rFonts w:ascii="Verdana" w:hAnsi="Verdana" w:eastAsia="Times New Roman" w:cs="Segoe UI Historic"/>
          <w:color w:val="050505"/>
          <w:sz w:val="20"/>
          <w:szCs w:val="20"/>
          <w:lang w:eastAsia="es-ES"/>
        </w:rPr>
      </w:pPr>
      <w:r w:rsidRPr="0029185C">
        <w:rPr>
          <w:rFonts w:ascii="Verdana" w:hAnsi="Verdana" w:eastAsia="Times New Roman" w:cs="Segoe UI Historic"/>
          <w:color w:val="050505"/>
          <w:sz w:val="20"/>
          <w:szCs w:val="20"/>
          <w:lang w:eastAsia="es-ES"/>
        </w:rPr>
        <w:t>Durante el evento se vendieron 29 sacos de abono orgánico, el cual aportaran grandes beneficios a los cultivos del área. De esta manera la AMSCLAE da cumplimiento a los ejes estratégicos de desarrollo sostenible, implementados en la cuenca de Atitlán.</w:t>
      </w:r>
    </w:p>
    <w:p w:rsidRPr="0029185C" w:rsidR="0029185C" w:rsidP="0029185C" w:rsidRDefault="0029185C" w14:paraId="7AA0E5D3" w14:textId="77777777">
      <w:pPr>
        <w:shd w:val="clear" w:color="auto" w:fill="FFFFFF"/>
        <w:spacing w:after="0" w:line="240" w:lineRule="auto"/>
        <w:jc w:val="both"/>
        <w:rPr>
          <w:rFonts w:ascii="Verdana" w:hAnsi="Verdana" w:eastAsia="Times New Roman" w:cs="Segoe UI Historic"/>
          <w:color w:val="050505"/>
          <w:sz w:val="20"/>
          <w:szCs w:val="20"/>
          <w:lang w:eastAsia="es-ES"/>
        </w:rPr>
      </w:pPr>
    </w:p>
    <w:p w:rsidR="001B59FD" w:rsidP="0029185C" w:rsidRDefault="0029185C" w14:paraId="50BAF6FF" w14:textId="3D4ACFF4">
      <w:pPr>
        <w:shd w:val="clear" w:color="auto" w:fill="FFFFFF"/>
        <w:spacing w:after="0" w:line="240" w:lineRule="auto"/>
        <w:jc w:val="both"/>
        <w:rPr>
          <w:rFonts w:ascii="Verdana" w:hAnsi="Verdana" w:eastAsia="Times New Roman" w:cs="Segoe UI Historic"/>
          <w:color w:val="050505"/>
          <w:sz w:val="20"/>
          <w:szCs w:val="20"/>
          <w:lang w:eastAsia="es-ES"/>
        </w:rPr>
      </w:pPr>
      <w:r w:rsidRPr="0029185C">
        <w:rPr>
          <w:rFonts w:ascii="Verdana" w:hAnsi="Verdana" w:eastAsia="Times New Roman" w:cs="Segoe UI Historic"/>
          <w:color w:val="050505"/>
          <w:sz w:val="20"/>
          <w:szCs w:val="20"/>
          <w:lang w:eastAsia="es-ES"/>
        </w:rPr>
        <w:t>A la población que esté interesada en la obtención de este producto, puede abocarse con los operarios de la Planta de Tratamiento de la Aldea San Jorge La Laguna y con los encargados de las Oficinas de Ambiente de las municipalidades de Sololá y Panajachel.</w:t>
      </w:r>
    </w:p>
    <w:p w:rsidR="0029185C" w:rsidP="0029185C" w:rsidRDefault="0029185C" w14:paraId="7A189E13" w14:textId="77777777">
      <w:pPr>
        <w:shd w:val="clear" w:color="auto" w:fill="FFFFFF"/>
        <w:spacing w:after="0" w:line="240" w:lineRule="auto"/>
        <w:jc w:val="both"/>
        <w:rPr>
          <w:rFonts w:ascii="Verdana" w:hAnsi="Verdana" w:eastAsia="Times New Roman" w:cs="Segoe UI"/>
          <w:sz w:val="20"/>
          <w:szCs w:val="20"/>
          <w:lang w:val="es-419" w:eastAsia="es-ES"/>
        </w:rPr>
      </w:pPr>
    </w:p>
    <w:p w:rsidR="006306A4" w:rsidP="001B59FD" w:rsidRDefault="001B59FD" w14:paraId="77F1F4B7" w14:textId="77777777">
      <w:pPr>
        <w:jc w:val="both"/>
        <w:rPr>
          <w:rFonts w:ascii="Verdana" w:hAnsi="Verdana"/>
          <w:b/>
          <w:bCs/>
          <w:sz w:val="20"/>
          <w:szCs w:val="20"/>
        </w:rPr>
      </w:pPr>
      <w:r w:rsidRPr="001B59FD">
        <w:rPr>
          <w:rFonts w:ascii="Verdana" w:hAnsi="Verdana"/>
          <w:b/>
          <w:bCs/>
          <w:sz w:val="20"/>
          <w:szCs w:val="20"/>
        </w:rPr>
        <w:t>Paneles Solares Fotovoltaicos en la planta de tratamiento de San Marcos La Laguna</w:t>
      </w:r>
    </w:p>
    <w:p w:rsidRPr="001B59FD" w:rsidR="001B59FD" w:rsidP="001B59FD" w:rsidRDefault="001B59FD" w14:paraId="1EF9F4F4" w14:textId="2790646E">
      <w:pPr>
        <w:jc w:val="both"/>
        <w:rPr>
          <w:rFonts w:ascii="Verdana" w:hAnsi="Verdana"/>
          <w:sz w:val="20"/>
          <w:szCs w:val="20"/>
        </w:rPr>
      </w:pPr>
      <w:r w:rsidRPr="001B59FD" w:rsidR="001B59FD">
        <w:rPr>
          <w:rFonts w:ascii="Verdana" w:hAnsi="Verdana"/>
          <w:sz w:val="20"/>
          <w:szCs w:val="20"/>
        </w:rPr>
        <w:t xml:space="preserve">En seguimiento a las directrices de gobierno y en cumplimiento a los fines de la AMSCLAE. En promover desarrollo sustentable y el fomento económico a través de energías renovables en actividades de impacto directo al rescate del lago de Atitlán, se ha dotado a la municipalidad de San Macos la Laguna, un primer lote de 30 paneles solares fotovoltaicos, para la generación de energía eléctrica, el cual funcionará en los equipos </w:t>
      </w:r>
      <w:r w:rsidR="006306A4">
        <w:rPr>
          <w:noProof/>
        </w:rPr>
        <w:lastRenderedPageBreak/>
        <w:drawing>
          <wp:anchor distT="0" distB="0" distL="114300" distR="114300" simplePos="0" relativeHeight="251714560" behindDoc="0" locked="0" layoutInCell="1" allowOverlap="1" wp14:anchorId="14FF6913" wp14:editId="7141B1D2">
            <wp:simplePos x="0" y="0"/>
            <wp:positionH relativeFrom="margin">
              <wp:posOffset>3891915</wp:posOffset>
            </wp:positionH>
            <wp:positionV relativeFrom="paragraph">
              <wp:posOffset>0</wp:posOffset>
            </wp:positionV>
            <wp:extent cx="1819275" cy="1005093"/>
            <wp:effectExtent l="0" t="0" r="0" b="508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8186" t="18720" r="37688" b="28090"/>
                    <a:stretch/>
                  </pic:blipFill>
                  <pic:spPr bwMode="auto">
                    <a:xfrm>
                      <a:off x="0" y="0"/>
                      <a:ext cx="1819275" cy="1005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9FD" w:rsidR="001B59FD">
        <w:rPr>
          <w:rFonts w:ascii="Verdana" w:hAnsi="Verdana"/>
          <w:sz w:val="20"/>
          <w:szCs w:val="20"/>
        </w:rPr>
        <w:t>instalados para el tratamiento de aguas residuales, cuyo impacto será la reducción en el pago de energía eléctrica que consume la Planta de Tratamiento de Aguas Residuales (PTAR), con ello se apoyará y potenciará la sostenibilidad del sistema.</w:t>
      </w:r>
    </w:p>
    <w:p w:rsidRPr="001B59FD" w:rsidR="001B59FD" w:rsidP="001B59FD" w:rsidRDefault="001B59FD" w14:paraId="7636F8BF" w14:textId="2E1EBE10">
      <w:pPr>
        <w:jc w:val="both"/>
        <w:rPr>
          <w:rFonts w:ascii="Verdana" w:hAnsi="Verdana"/>
          <w:sz w:val="20"/>
          <w:szCs w:val="20"/>
        </w:rPr>
      </w:pPr>
      <w:r w:rsidRPr="001B59FD">
        <w:rPr>
          <w:rFonts w:ascii="Verdana" w:hAnsi="Verdana"/>
          <w:sz w:val="20"/>
          <w:szCs w:val="20"/>
        </w:rPr>
        <w:t>El aporte principal de AMSCLAE en este proyecto, es la dotación de los paneles solares, así como la asistencia y acompañamiento técnico para su uso correcto. Por su parte, la Municipalidad de San Marcos la Laguna, aportará al proyecto la estructura metálica, los inversores eléctricos y los dispositivos para la interconexión.</w:t>
      </w:r>
    </w:p>
    <w:p w:rsidRPr="001B59FD" w:rsidR="001B59FD" w:rsidP="001B59FD" w:rsidRDefault="001B59FD" w14:paraId="35F1BBDC" w14:textId="3E539538">
      <w:pPr>
        <w:jc w:val="both"/>
        <w:rPr>
          <w:rFonts w:ascii="Verdana" w:hAnsi="Verdana"/>
          <w:sz w:val="20"/>
          <w:szCs w:val="20"/>
        </w:rPr>
      </w:pPr>
      <w:r w:rsidRPr="001B59FD">
        <w:rPr>
          <w:rFonts w:ascii="Verdana" w:hAnsi="Verdana"/>
          <w:sz w:val="20"/>
          <w:szCs w:val="20"/>
        </w:rPr>
        <w:t>Actualmente la PTAR trata las aguas residuales del Barrio 2 de San Marcos la Laguna, y sirve a una población de 818 personas y a futuro 1,471. El horizonte de vida útil es de 25 años en cumplimiento al acuerdo Gubernativo 12-2011.</w:t>
      </w:r>
    </w:p>
    <w:p w:rsidR="00BC7C07" w:rsidP="001B59FD" w:rsidRDefault="001B59FD" w14:paraId="2BCE8087" w14:textId="3E1A1713">
      <w:pPr>
        <w:jc w:val="both"/>
        <w:rPr>
          <w:rFonts w:ascii="Verdana" w:hAnsi="Verdana"/>
          <w:sz w:val="20"/>
          <w:szCs w:val="20"/>
        </w:rPr>
      </w:pPr>
      <w:r w:rsidRPr="001B59FD">
        <w:rPr>
          <w:rFonts w:ascii="Verdana" w:hAnsi="Verdana"/>
          <w:sz w:val="20"/>
          <w:szCs w:val="20"/>
        </w:rPr>
        <w:t>Al completar el proyecto, la AMSCLAE habrá dotado 44 paneles solares fotovoltaicos de 320Wp, para un ahorro mensual de Q 1,725.90 al costo de energía eléctrica, logrando con ello un ahorro de aproximadamente 43.00% del costo total que consume la planta de tratamiento.</w:t>
      </w:r>
    </w:p>
    <w:p w:rsidRPr="001B59FD" w:rsidR="001B59FD" w:rsidP="001B59FD" w:rsidRDefault="001B59FD" w14:paraId="25D676A2" w14:textId="73558DF7">
      <w:pPr>
        <w:jc w:val="both"/>
        <w:rPr>
          <w:rFonts w:ascii="Verdana" w:hAnsi="Verdana"/>
          <w:sz w:val="20"/>
          <w:szCs w:val="20"/>
          <w:lang w:val="es-MX"/>
        </w:rPr>
      </w:pPr>
      <w:r w:rsidRPr="001B59FD">
        <w:rPr>
          <w:rFonts w:ascii="Verdana" w:hAnsi="Verdana"/>
          <w:b/>
          <w:bCs/>
          <w:sz w:val="20"/>
          <w:szCs w:val="20"/>
          <w:lang w:val="es-MX"/>
        </w:rPr>
        <w:t>Lanzamiento oficial del Programa de Fortalecimiento a Proyectos Verdes de la Cuenca del Lago de Atitlán</w:t>
      </w:r>
    </w:p>
    <w:p w:rsidRPr="001B59FD" w:rsidR="001B59FD" w:rsidP="001B59FD" w:rsidRDefault="001B59FD" w14:paraId="2F91F075" w14:textId="77777777">
      <w:pPr>
        <w:spacing w:after="0" w:line="240" w:lineRule="auto"/>
        <w:jc w:val="both"/>
        <w:rPr>
          <w:rFonts w:ascii="Verdana" w:hAnsi="Verdana" w:eastAsia="Times New Roman" w:cs="Times New Roman"/>
          <w:sz w:val="20"/>
          <w:szCs w:val="20"/>
          <w:lang w:eastAsia="es-GT"/>
        </w:rPr>
      </w:pPr>
      <w:r w:rsidRPr="001B59FD">
        <w:rPr>
          <w:rFonts w:ascii="Verdana" w:hAnsi="Verdana" w:eastAsia="Times New Roman" w:cs="Times New Roman"/>
          <w:sz w:val="20"/>
          <w:szCs w:val="20"/>
          <w:lang w:eastAsia="es-GT"/>
        </w:rPr>
        <w:t>La Autoridad para el Manejo Sustentable de la Cuenca de Lago de Atitlán y su Entorno -AMSCLAE- en coordinación con la Secretaría Nacional de Ciencia y Tecnología -SENACYT-, el Ministerio de Ambiente y Recursos Naturales -MARN-, la Universidad del Valle de Guatemala -UVG- (Campus Altiplano), la Agencia de Cooperación Alemana -GIZ- a través de su programa ADAPTATE y el programa EPSUM de la Universidad San Carlos de Guatemala, participaron en la inauguración del Programa de Fortalecimiento a Proyectos Verdes de la Cuenca del Lago de Atitlán.</w:t>
      </w:r>
    </w:p>
    <w:p w:rsidRPr="001B59FD" w:rsidR="001B59FD" w:rsidP="001B59FD" w:rsidRDefault="001B59FD" w14:paraId="0CC2768C" w14:textId="77777777">
      <w:pPr>
        <w:spacing w:after="0" w:line="240" w:lineRule="auto"/>
        <w:jc w:val="both"/>
        <w:rPr>
          <w:rFonts w:ascii="Verdana" w:hAnsi="Verdana" w:eastAsia="Times New Roman" w:cs="Times New Roman"/>
          <w:sz w:val="20"/>
          <w:szCs w:val="20"/>
          <w:lang w:eastAsia="es-GT"/>
        </w:rPr>
      </w:pPr>
    </w:p>
    <w:p w:rsidRPr="001B59FD" w:rsidR="001B59FD" w:rsidP="001B59FD" w:rsidRDefault="001B59FD" w14:paraId="1B4A9BA0" w14:textId="77777777">
      <w:pPr>
        <w:spacing w:after="0" w:line="240" w:lineRule="auto"/>
        <w:jc w:val="both"/>
        <w:rPr>
          <w:rFonts w:ascii="Verdana" w:hAnsi="Verdana" w:eastAsia="Times New Roman" w:cs="Times New Roman"/>
          <w:sz w:val="20"/>
          <w:szCs w:val="20"/>
          <w:lang w:eastAsia="es-GT"/>
        </w:rPr>
      </w:pPr>
      <w:r w:rsidRPr="001B59FD">
        <w:rPr>
          <w:rFonts w:ascii="Verdana" w:hAnsi="Verdana" w:eastAsia="Times New Roman" w:cs="Times New Roman"/>
          <w:sz w:val="20"/>
          <w:szCs w:val="20"/>
          <w:lang w:eastAsia="es-GT"/>
        </w:rPr>
        <w:t>Tras una etapa de convocatoria, se seleccionaron 13 proyectos que contribuyen directamente a problemas medio ambientales de la cuenca del Lago de Atitlán, los cuales serán fortalecidos mediante capacitaciones y asesorías, a través de un equipo de especialistas profesionales de las instituciones que impulsan el proyecto.</w:t>
      </w:r>
    </w:p>
    <w:p w:rsidRPr="001B59FD" w:rsidR="001B59FD" w:rsidP="001B59FD" w:rsidRDefault="001B59FD" w14:paraId="1840F689" w14:textId="77777777">
      <w:pPr>
        <w:spacing w:after="0" w:line="240" w:lineRule="auto"/>
        <w:jc w:val="both"/>
        <w:rPr>
          <w:rFonts w:ascii="Verdana" w:hAnsi="Verdana" w:eastAsia="Times New Roman" w:cs="Times New Roman"/>
          <w:sz w:val="20"/>
          <w:szCs w:val="20"/>
          <w:lang w:eastAsia="es-GT"/>
        </w:rPr>
      </w:pPr>
    </w:p>
    <w:p w:rsidRPr="001B59FD" w:rsidR="001B59FD" w:rsidP="001B59FD" w:rsidRDefault="001B59FD" w14:paraId="0F3E9C19" w14:textId="77777777">
      <w:pPr>
        <w:spacing w:after="0" w:line="240" w:lineRule="auto"/>
        <w:jc w:val="both"/>
        <w:rPr>
          <w:rFonts w:ascii="Verdana" w:hAnsi="Verdana" w:eastAsia="Times New Roman" w:cs="Times New Roman"/>
          <w:sz w:val="20"/>
          <w:szCs w:val="20"/>
          <w:lang w:eastAsia="es-GT"/>
        </w:rPr>
      </w:pPr>
      <w:r w:rsidRPr="001B59FD">
        <w:rPr>
          <w:rFonts w:ascii="Verdana" w:hAnsi="Verdana" w:eastAsia="Times New Roman" w:cs="Times New Roman"/>
          <w:sz w:val="20"/>
          <w:szCs w:val="20"/>
          <w:lang w:eastAsia="es-GT"/>
        </w:rPr>
        <w:t>Durante la inauguración, el Director Ejecutivo, Ing. Pedro Geovanni Toc Cobox, indicó que este es un programa innovador que contribuirá directamente a los proyectos que buscan cambios relevantes en las problemáticas que afectan la cuenca.</w:t>
      </w:r>
    </w:p>
    <w:p w:rsidRPr="001B59FD" w:rsidR="001B59FD" w:rsidP="001B59FD" w:rsidRDefault="001B59FD" w14:paraId="6FF712A4" w14:textId="77777777">
      <w:pPr>
        <w:spacing w:after="0" w:line="240" w:lineRule="auto"/>
        <w:jc w:val="both"/>
        <w:rPr>
          <w:rFonts w:ascii="Verdana" w:hAnsi="Verdana" w:eastAsia="Times New Roman" w:cs="Times New Roman"/>
          <w:sz w:val="20"/>
          <w:szCs w:val="20"/>
          <w:lang w:eastAsia="es-GT"/>
        </w:rPr>
      </w:pPr>
    </w:p>
    <w:p w:rsidRPr="001B59FD" w:rsidR="001B59FD" w:rsidP="001B59FD" w:rsidRDefault="001B59FD" w14:paraId="74931A2E" w14:textId="77777777">
      <w:pPr>
        <w:spacing w:after="0" w:line="240" w:lineRule="auto"/>
        <w:jc w:val="both"/>
        <w:rPr>
          <w:rFonts w:ascii="Verdana" w:hAnsi="Verdana" w:eastAsia="Times New Roman" w:cs="Times New Roman"/>
          <w:sz w:val="20"/>
          <w:szCs w:val="20"/>
          <w:lang w:eastAsia="es-GT"/>
        </w:rPr>
      </w:pPr>
      <w:r w:rsidRPr="001B59FD">
        <w:rPr>
          <w:rFonts w:ascii="Verdana" w:hAnsi="Verdana" w:eastAsia="Times New Roman" w:cs="Times New Roman"/>
          <w:sz w:val="20"/>
          <w:szCs w:val="20"/>
          <w:lang w:eastAsia="es-GT"/>
        </w:rPr>
        <w:t>Al culminar el acto inaugural, inició el primer taller de trabajo denominado “Análisis del Entorno y Oportunidades”, impartido por la Licda. Elma Morales, profesional en asuntos económicos de la AMSCLAE.</w:t>
      </w:r>
    </w:p>
    <w:p w:rsidRPr="001B59FD" w:rsidR="001B59FD" w:rsidP="001B59FD" w:rsidRDefault="001B59FD" w14:paraId="4A60599C" w14:textId="77777777">
      <w:pPr>
        <w:spacing w:after="0" w:line="240" w:lineRule="auto"/>
        <w:jc w:val="both"/>
        <w:rPr>
          <w:rFonts w:ascii="Verdana" w:hAnsi="Verdana" w:eastAsia="Times New Roman" w:cs="Times New Roman"/>
          <w:sz w:val="20"/>
          <w:szCs w:val="20"/>
          <w:lang w:eastAsia="es-GT"/>
        </w:rPr>
      </w:pPr>
    </w:p>
    <w:p w:rsidR="001B59FD" w:rsidP="001B59FD" w:rsidRDefault="001B59FD" w14:paraId="6D5A9C19" w14:textId="060EA7D2">
      <w:pPr>
        <w:spacing w:after="0" w:line="240" w:lineRule="auto"/>
        <w:jc w:val="both"/>
        <w:rPr>
          <w:rFonts w:ascii="Verdana" w:hAnsi="Verdana" w:eastAsia="Times New Roman" w:cs="Times New Roman"/>
          <w:sz w:val="20"/>
          <w:szCs w:val="20"/>
          <w:lang w:eastAsia="es-GT"/>
        </w:rPr>
      </w:pPr>
      <w:r w:rsidRPr="001B59FD">
        <w:rPr>
          <w:rFonts w:ascii="Verdana" w:hAnsi="Verdana" w:eastAsia="Times New Roman" w:cs="Times New Roman"/>
          <w:sz w:val="20"/>
          <w:szCs w:val="20"/>
          <w:lang w:eastAsia="es-GT"/>
        </w:rPr>
        <w:t>Acciones como estas, fortalecen los proyectos autosostenibles que contribuyen a la protección de los recursos naturales y el ecosistema de la cuenca del lago de Atitlán.</w:t>
      </w:r>
    </w:p>
    <w:p w:rsidR="00C5600E" w:rsidP="001B59FD" w:rsidRDefault="00C5600E" w14:paraId="7B48D9AF" w14:textId="34D409D5">
      <w:pPr>
        <w:spacing w:after="0" w:line="240" w:lineRule="auto"/>
        <w:jc w:val="both"/>
        <w:rPr>
          <w:rFonts w:ascii="Verdana" w:hAnsi="Verdana" w:eastAsia="Times New Roman" w:cs="Times New Roman"/>
          <w:sz w:val="20"/>
          <w:szCs w:val="20"/>
          <w:lang w:eastAsia="es-GT"/>
        </w:rPr>
      </w:pPr>
    </w:p>
    <w:p w:rsidR="00C5600E" w:rsidP="00C5600E" w:rsidRDefault="00C5600E" w14:paraId="62843C6A" w14:textId="119B5AF8">
      <w:pPr>
        <w:spacing w:after="0" w:line="240" w:lineRule="auto"/>
        <w:jc w:val="center"/>
        <w:rPr>
          <w:rFonts w:ascii="Verdana" w:hAnsi="Verdana" w:eastAsia="Times New Roman" w:cs="Times New Roman"/>
          <w:sz w:val="20"/>
          <w:szCs w:val="20"/>
          <w:lang w:eastAsia="es-GT"/>
        </w:rPr>
      </w:pPr>
      <w:r w:rsidR="00C5600E">
        <w:drawing>
          <wp:inline wp14:editId="796A6831" wp14:anchorId="68A2FC7A">
            <wp:extent cx="1433523" cy="814070"/>
            <wp:effectExtent l="0" t="0" r="0" b="5080"/>
            <wp:docPr id="32" name="Imagen 32" title=""/>
            <wp:cNvGraphicFramePr>
              <a:graphicFrameLocks noChangeAspect="1"/>
            </wp:cNvGraphicFramePr>
            <a:graphic>
              <a:graphicData uri="http://schemas.openxmlformats.org/drawingml/2006/picture">
                <pic:pic>
                  <pic:nvPicPr>
                    <pic:cNvPr id="0" name="Imagen 32"/>
                    <pic:cNvPicPr/>
                  </pic:nvPicPr>
                  <pic:blipFill>
                    <a:blip r:embed="R442be51c6ef348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33523" cy="814070"/>
                    </a:xfrm>
                    <a:prstGeom prst="rect">
                      <a:avLst/>
                    </a:prstGeom>
                  </pic:spPr>
                </pic:pic>
              </a:graphicData>
            </a:graphic>
          </wp:inline>
        </w:drawing>
      </w:r>
      <w:r w:rsidRPr="5DAC0B5F" w:rsidR="2257A5A8">
        <w:rPr>
          <w:rFonts w:ascii="Verdana" w:hAnsi="Verdana" w:eastAsia="Times New Roman" w:cs="Times New Roman"/>
          <w:sz w:val="20"/>
          <w:szCs w:val="20"/>
          <w:lang w:eastAsia="es-GT"/>
        </w:rPr>
        <w:t xml:space="preserve">  </w:t>
      </w:r>
      <w:r w:rsidR="00C5600E">
        <w:drawing>
          <wp:inline wp14:editId="71555826" wp14:anchorId="4FBCBCC5">
            <wp:extent cx="1597083" cy="856615"/>
            <wp:effectExtent l="0" t="0" r="3175" b="635"/>
            <wp:docPr id="29" name="Imagen 29" title=""/>
            <wp:cNvGraphicFramePr>
              <a:graphicFrameLocks noChangeAspect="1"/>
            </wp:cNvGraphicFramePr>
            <a:graphic>
              <a:graphicData uri="http://schemas.openxmlformats.org/drawingml/2006/picture">
                <pic:pic>
                  <pic:nvPicPr>
                    <pic:cNvPr id="0" name="Imagen 29"/>
                    <pic:cNvPicPr/>
                  </pic:nvPicPr>
                  <pic:blipFill>
                    <a:blip r:embed="R5f03d23253df43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97083" cy="856615"/>
                    </a:xfrm>
                    <a:prstGeom prst="rect">
                      <a:avLst/>
                    </a:prstGeom>
                  </pic:spPr>
                </pic:pic>
              </a:graphicData>
            </a:graphic>
          </wp:inline>
        </w:drawing>
      </w:r>
      <w:r w:rsidRPr="5DAC0B5F" w:rsidR="2257A5A8">
        <w:rPr>
          <w:rFonts w:ascii="Verdana" w:hAnsi="Verdana" w:eastAsia="Times New Roman" w:cs="Times New Roman"/>
          <w:sz w:val="20"/>
          <w:szCs w:val="20"/>
          <w:lang w:eastAsia="es-GT"/>
        </w:rPr>
        <w:t xml:space="preserve">  </w:t>
      </w:r>
      <w:r w:rsidR="00C5600E">
        <w:drawing>
          <wp:inline wp14:editId="5F05E801" wp14:anchorId="380E5AB2">
            <wp:extent cx="1725750" cy="819150"/>
            <wp:effectExtent l="0" t="0" r="8255" b="0"/>
            <wp:docPr id="33" name="Imagen 33" title=""/>
            <wp:cNvGraphicFramePr>
              <a:graphicFrameLocks noChangeAspect="1"/>
            </wp:cNvGraphicFramePr>
            <a:graphic>
              <a:graphicData uri="http://schemas.openxmlformats.org/drawingml/2006/picture">
                <pic:pic>
                  <pic:nvPicPr>
                    <pic:cNvPr id="0" name="Imagen 33"/>
                    <pic:cNvPicPr/>
                  </pic:nvPicPr>
                  <pic:blipFill>
                    <a:blip r:embed="Rcb4d992138cd46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25750" cy="819150"/>
                    </a:xfrm>
                    <a:prstGeom prst="rect">
                      <a:avLst/>
                    </a:prstGeom>
                  </pic:spPr>
                </pic:pic>
              </a:graphicData>
            </a:graphic>
          </wp:inline>
        </w:drawing>
      </w:r>
      <w:r w:rsidRPr="5DAC0B5F" w:rsidR="2257A5A8">
        <w:rPr>
          <w:rFonts w:ascii="Verdana" w:hAnsi="Verdana" w:eastAsia="Times New Roman" w:cs="Times New Roman"/>
          <w:sz w:val="20"/>
          <w:szCs w:val="20"/>
          <w:lang w:eastAsia="es-GT"/>
        </w:rPr>
        <w:t xml:space="preserve"> </w:t>
      </w:r>
    </w:p>
    <w:p w:rsidR="00C5600E" w:rsidP="001B59FD" w:rsidRDefault="00C5600E" w14:paraId="306BC0D7" w14:textId="30D1B27A">
      <w:pPr>
        <w:spacing w:after="0" w:line="240" w:lineRule="auto"/>
        <w:jc w:val="both"/>
        <w:rPr>
          <w:rFonts w:ascii="Verdana" w:hAnsi="Verdana" w:eastAsia="Times New Roman" w:cs="Times New Roman"/>
          <w:sz w:val="20"/>
          <w:szCs w:val="20"/>
          <w:lang w:eastAsia="es-GT"/>
        </w:rPr>
      </w:pPr>
    </w:p>
    <w:p w:rsidRPr="00C5600E" w:rsidR="00C5600E" w:rsidP="00C5600E" w:rsidRDefault="00C5600E" w14:paraId="3AFFBE9E" w14:textId="77777777">
      <w:pPr>
        <w:pStyle w:val="paragraph"/>
        <w:shd w:val="clear" w:color="auto" w:fill="FFFFFF"/>
        <w:spacing w:before="0" w:beforeAutospacing="0" w:after="0" w:afterAutospacing="0"/>
        <w:jc w:val="both"/>
        <w:textAlignment w:val="baseline"/>
        <w:rPr>
          <w:rFonts w:ascii="Verdana" w:hAnsi="Verdana" w:cs="Segoe UI"/>
          <w:sz w:val="18"/>
          <w:szCs w:val="18"/>
        </w:rPr>
      </w:pPr>
      <w:r w:rsidRPr="00C5600E">
        <w:rPr>
          <w:rStyle w:val="normaltextrun"/>
          <w:rFonts w:ascii="Verdana" w:hAnsi="Verdana" w:cs="Segoe UI"/>
          <w:b/>
          <w:bCs/>
          <w:sz w:val="20"/>
          <w:szCs w:val="20"/>
          <w:lang w:val="es-ES"/>
        </w:rPr>
        <w:t>Convenio interinstitucional </w:t>
      </w:r>
      <w:r w:rsidRPr="00C5600E">
        <w:rPr>
          <w:rStyle w:val="normaltextrun"/>
          <w:rFonts w:ascii="Verdana" w:hAnsi="Verdana" w:cs="Segoe UI"/>
          <w:b/>
          <w:bCs/>
          <w:sz w:val="20"/>
          <w:szCs w:val="20"/>
          <w:lang w:val="es-419"/>
        </w:rPr>
        <w:t>implementará</w:t>
      </w:r>
      <w:r w:rsidRPr="00C5600E">
        <w:rPr>
          <w:rStyle w:val="normaltextrun"/>
          <w:rFonts w:ascii="Verdana" w:hAnsi="Verdana" w:cs="Segoe UI"/>
          <w:b/>
          <w:bCs/>
          <w:sz w:val="20"/>
          <w:szCs w:val="20"/>
          <w:lang w:val="es-ES"/>
        </w:rPr>
        <w:t> energías renovables en </w:t>
      </w:r>
      <w:r w:rsidRPr="00C5600E">
        <w:rPr>
          <w:rStyle w:val="normaltextrun"/>
          <w:rFonts w:ascii="Verdana" w:hAnsi="Verdana" w:cs="Segoe UI"/>
          <w:b/>
          <w:bCs/>
          <w:sz w:val="20"/>
          <w:szCs w:val="20"/>
          <w:lang w:val="es-419"/>
        </w:rPr>
        <w:t>proyecto de agua potable</w:t>
      </w:r>
      <w:r w:rsidRPr="00C5600E">
        <w:rPr>
          <w:rStyle w:val="eop"/>
          <w:rFonts w:ascii="Verdana" w:hAnsi="Verdana" w:cs="Segoe UI"/>
          <w:sz w:val="20"/>
          <w:szCs w:val="20"/>
        </w:rPr>
        <w:t> </w:t>
      </w:r>
    </w:p>
    <w:p w:rsidRPr="00C5600E" w:rsidR="00C5600E" w:rsidP="00C5600E" w:rsidRDefault="00C5600E" w14:paraId="00409509" w14:textId="77777777">
      <w:pPr>
        <w:pStyle w:val="paragraph"/>
        <w:shd w:val="clear" w:color="auto" w:fill="FFFFFF"/>
        <w:spacing w:before="0" w:beforeAutospacing="0" w:after="0" w:afterAutospacing="0"/>
        <w:jc w:val="both"/>
        <w:textAlignment w:val="baseline"/>
        <w:rPr>
          <w:rFonts w:ascii="Verdana" w:hAnsi="Verdana" w:cs="Segoe UI"/>
          <w:sz w:val="18"/>
          <w:szCs w:val="18"/>
        </w:rPr>
      </w:pPr>
      <w:r w:rsidRPr="00C5600E">
        <w:rPr>
          <w:rStyle w:val="eop"/>
          <w:rFonts w:ascii="Verdana" w:hAnsi="Verdana" w:cs="Segoe UI"/>
          <w:sz w:val="20"/>
          <w:szCs w:val="20"/>
        </w:rPr>
        <w:t> </w:t>
      </w:r>
    </w:p>
    <w:p w:rsidRPr="00C5600E" w:rsidR="00C5600E" w:rsidP="00C5600E" w:rsidRDefault="00C5600E" w14:paraId="48A22162" w14:textId="77777777">
      <w:pPr>
        <w:pStyle w:val="paragraph"/>
        <w:shd w:val="clear" w:color="auto" w:fill="FFFFFF"/>
        <w:spacing w:before="0" w:beforeAutospacing="0" w:after="0" w:afterAutospacing="0"/>
        <w:jc w:val="both"/>
        <w:textAlignment w:val="baseline"/>
        <w:rPr>
          <w:rFonts w:ascii="Verdana" w:hAnsi="Verdana" w:cs="Segoe UI"/>
          <w:sz w:val="18"/>
          <w:szCs w:val="18"/>
        </w:rPr>
      </w:pPr>
      <w:r w:rsidRPr="00C5600E">
        <w:rPr>
          <w:rStyle w:val="normaltextrun"/>
          <w:rFonts w:ascii="Verdana" w:hAnsi="Verdana" w:cs="Segoe UI"/>
          <w:sz w:val="20"/>
          <w:szCs w:val="20"/>
          <w:lang w:val="es-ES"/>
        </w:rPr>
        <w:t>Con el objetivo de promover el desarrollo sostenible en proyectos que garanticen la protección de los recursos naturales y los ecosistemas de la Cuenca del Lago de Atitlán, AMSCLAE firmó el Convenio de Cooperación Interinstitucional con el Comité de Agua Potable por bombeo y gravedad el Manantial del Caserío </w:t>
      </w:r>
      <w:proofErr w:type="spellStart"/>
      <w:r w:rsidRPr="00C5600E">
        <w:rPr>
          <w:rStyle w:val="normaltextrun"/>
          <w:rFonts w:ascii="Verdana" w:hAnsi="Verdana" w:cs="Segoe UI"/>
          <w:sz w:val="20"/>
          <w:szCs w:val="20"/>
          <w:lang w:val="es-ES"/>
        </w:rPr>
        <w:t>Xibalbay</w:t>
      </w:r>
      <w:proofErr w:type="spellEnd"/>
      <w:r w:rsidRPr="00C5600E">
        <w:rPr>
          <w:rStyle w:val="normaltextrun"/>
          <w:rFonts w:ascii="Verdana" w:hAnsi="Verdana" w:cs="Segoe UI"/>
          <w:sz w:val="20"/>
          <w:szCs w:val="20"/>
          <w:lang w:val="es-ES"/>
        </w:rPr>
        <w:t>, Aldea Chaquijyá, Sololá, el cual fue signado por el Director Ejecutivo de AMSCLAE, Ing. Pedro Geovanni Toc Cobox y el Presidente de la Junta Directiva del Comité de agua potable del Caserío </w:t>
      </w:r>
      <w:proofErr w:type="spellStart"/>
      <w:r w:rsidRPr="00C5600E">
        <w:rPr>
          <w:rStyle w:val="normaltextrun"/>
          <w:rFonts w:ascii="Verdana" w:hAnsi="Verdana" w:cs="Segoe UI"/>
          <w:sz w:val="20"/>
          <w:szCs w:val="20"/>
          <w:lang w:val="es-ES"/>
        </w:rPr>
        <w:t>Xibalbay</w:t>
      </w:r>
      <w:proofErr w:type="spellEnd"/>
      <w:r w:rsidRPr="00C5600E">
        <w:rPr>
          <w:rStyle w:val="normaltextrun"/>
          <w:rFonts w:ascii="Verdana" w:hAnsi="Verdana" w:cs="Segoe UI"/>
          <w:sz w:val="20"/>
          <w:szCs w:val="20"/>
          <w:lang w:val="es-ES"/>
        </w:rPr>
        <w:t>, Señor Mauricio </w:t>
      </w:r>
      <w:proofErr w:type="spellStart"/>
      <w:r w:rsidRPr="00C5600E">
        <w:rPr>
          <w:rStyle w:val="normaltextrun"/>
          <w:rFonts w:ascii="Verdana" w:hAnsi="Verdana" w:cs="Segoe UI"/>
          <w:sz w:val="20"/>
          <w:szCs w:val="20"/>
          <w:lang w:val="es-ES"/>
        </w:rPr>
        <w:t>Panjoj</w:t>
      </w:r>
      <w:proofErr w:type="spellEnd"/>
      <w:r w:rsidRPr="00C5600E">
        <w:rPr>
          <w:rStyle w:val="normaltextrun"/>
          <w:rFonts w:ascii="Verdana" w:hAnsi="Verdana" w:cs="Segoe UI"/>
          <w:sz w:val="20"/>
          <w:szCs w:val="20"/>
          <w:lang w:val="es-ES"/>
        </w:rPr>
        <w:t> </w:t>
      </w:r>
      <w:proofErr w:type="spellStart"/>
      <w:r w:rsidRPr="00C5600E">
        <w:rPr>
          <w:rStyle w:val="normaltextrun"/>
          <w:rFonts w:ascii="Verdana" w:hAnsi="Verdana" w:cs="Segoe UI"/>
          <w:sz w:val="20"/>
          <w:szCs w:val="20"/>
          <w:lang w:val="es-ES"/>
        </w:rPr>
        <w:t>Guarcax</w:t>
      </w:r>
      <w:proofErr w:type="spellEnd"/>
      <w:r w:rsidRPr="00C5600E">
        <w:rPr>
          <w:rStyle w:val="normaltextrun"/>
          <w:rFonts w:ascii="Verdana" w:hAnsi="Verdana" w:cs="Segoe UI"/>
          <w:sz w:val="20"/>
          <w:szCs w:val="20"/>
          <w:lang w:val="es-ES"/>
        </w:rPr>
        <w:t>.</w:t>
      </w:r>
      <w:r w:rsidRPr="00C5600E">
        <w:rPr>
          <w:rStyle w:val="eop"/>
          <w:rFonts w:ascii="Verdana" w:hAnsi="Verdana" w:cs="Segoe UI"/>
          <w:sz w:val="20"/>
          <w:szCs w:val="20"/>
        </w:rPr>
        <w:t> </w:t>
      </w:r>
    </w:p>
    <w:p w:rsidRPr="00C5600E" w:rsidR="00C5600E" w:rsidP="00C5600E" w:rsidRDefault="00C5600E" w14:paraId="0EE77F67" w14:textId="77777777">
      <w:pPr>
        <w:pStyle w:val="paragraph"/>
        <w:shd w:val="clear" w:color="auto" w:fill="FFFFFF"/>
        <w:spacing w:before="0" w:beforeAutospacing="0" w:after="0" w:afterAutospacing="0"/>
        <w:jc w:val="both"/>
        <w:textAlignment w:val="baseline"/>
        <w:rPr>
          <w:rFonts w:ascii="Verdana" w:hAnsi="Verdana" w:cs="Segoe UI"/>
          <w:sz w:val="18"/>
          <w:szCs w:val="18"/>
        </w:rPr>
      </w:pPr>
      <w:r w:rsidRPr="00C5600E">
        <w:rPr>
          <w:rStyle w:val="eop"/>
          <w:rFonts w:ascii="Verdana" w:hAnsi="Verdana" w:cs="Segoe UI"/>
          <w:sz w:val="20"/>
          <w:szCs w:val="20"/>
        </w:rPr>
        <w:t> </w:t>
      </w:r>
    </w:p>
    <w:p w:rsidRPr="00C5600E" w:rsidR="00C5600E" w:rsidP="00C5600E" w:rsidRDefault="00C5600E" w14:paraId="620F4944" w14:textId="77777777">
      <w:pPr>
        <w:pStyle w:val="paragraph"/>
        <w:shd w:val="clear" w:color="auto" w:fill="FFFFFF"/>
        <w:spacing w:before="0" w:beforeAutospacing="0" w:after="0" w:afterAutospacing="0"/>
        <w:jc w:val="both"/>
        <w:textAlignment w:val="baseline"/>
        <w:rPr>
          <w:rFonts w:ascii="Verdana" w:hAnsi="Verdana" w:cs="Segoe UI"/>
          <w:sz w:val="18"/>
          <w:szCs w:val="18"/>
        </w:rPr>
      </w:pPr>
      <w:r w:rsidRPr="00C5600E">
        <w:rPr>
          <w:rStyle w:val="normaltextrun"/>
          <w:rFonts w:ascii="Verdana" w:hAnsi="Verdana" w:cs="Segoe UI"/>
          <w:sz w:val="20"/>
          <w:szCs w:val="20"/>
          <w:lang w:val="es-419"/>
        </w:rPr>
        <w:t>Esta cooperación </w:t>
      </w:r>
      <w:r w:rsidRPr="00C5600E">
        <w:rPr>
          <w:rStyle w:val="normaltextrun"/>
          <w:rFonts w:ascii="Verdana" w:hAnsi="Verdana" w:cs="Segoe UI"/>
          <w:sz w:val="20"/>
          <w:szCs w:val="20"/>
          <w:lang w:val="es-ES"/>
        </w:rPr>
        <w:t>tiene como fin, la implementación de energías renovables a través </w:t>
      </w:r>
      <w:r w:rsidRPr="00C5600E">
        <w:rPr>
          <w:rStyle w:val="normaltextrun"/>
          <w:rFonts w:ascii="Verdana" w:hAnsi="Verdana" w:cs="Segoe UI"/>
          <w:sz w:val="20"/>
          <w:szCs w:val="20"/>
          <w:lang w:val="es-419"/>
        </w:rPr>
        <w:t>de la implementación de</w:t>
      </w:r>
      <w:r w:rsidRPr="00C5600E">
        <w:rPr>
          <w:rStyle w:val="normaltextrun"/>
          <w:rFonts w:ascii="Verdana" w:hAnsi="Verdana" w:cs="Segoe UI"/>
          <w:sz w:val="20"/>
          <w:szCs w:val="20"/>
          <w:lang w:val="es-ES"/>
        </w:rPr>
        <w:t> paneles solares fotovoltaicos en el sistema de bombeo de agua potable "El Manantial" del Caserío </w:t>
      </w:r>
      <w:proofErr w:type="spellStart"/>
      <w:r w:rsidRPr="00C5600E">
        <w:rPr>
          <w:rStyle w:val="normaltextrun"/>
          <w:rFonts w:ascii="Verdana" w:hAnsi="Verdana" w:cs="Segoe UI"/>
          <w:sz w:val="20"/>
          <w:szCs w:val="20"/>
          <w:lang w:val="es-ES"/>
        </w:rPr>
        <w:t>Xibalbay</w:t>
      </w:r>
      <w:proofErr w:type="spellEnd"/>
      <w:r w:rsidRPr="00C5600E">
        <w:rPr>
          <w:rStyle w:val="normaltextrun"/>
          <w:rFonts w:ascii="Verdana" w:hAnsi="Verdana" w:cs="Segoe UI"/>
          <w:sz w:val="20"/>
          <w:szCs w:val="20"/>
          <w:lang w:val="es-ES"/>
        </w:rPr>
        <w:t>, el cual contribuirá de manera directa a la reducción de los costos, por el pago de la energía eléctrica.</w:t>
      </w:r>
      <w:r w:rsidRPr="00C5600E">
        <w:rPr>
          <w:rStyle w:val="eop"/>
          <w:rFonts w:ascii="Verdana" w:hAnsi="Verdana" w:cs="Segoe UI"/>
          <w:sz w:val="20"/>
          <w:szCs w:val="20"/>
        </w:rPr>
        <w:t> </w:t>
      </w:r>
    </w:p>
    <w:p w:rsidRPr="00C5600E" w:rsidR="00C5600E" w:rsidP="00C5600E" w:rsidRDefault="00C5600E" w14:paraId="7F7A8E0A" w14:textId="77777777">
      <w:pPr>
        <w:pStyle w:val="paragraph"/>
        <w:shd w:val="clear" w:color="auto" w:fill="FFFFFF"/>
        <w:spacing w:before="0" w:beforeAutospacing="0" w:after="0" w:afterAutospacing="0"/>
        <w:jc w:val="both"/>
        <w:textAlignment w:val="baseline"/>
        <w:rPr>
          <w:rFonts w:ascii="Verdana" w:hAnsi="Verdana" w:cs="Segoe UI"/>
          <w:sz w:val="18"/>
          <w:szCs w:val="18"/>
        </w:rPr>
      </w:pPr>
      <w:r w:rsidRPr="00C5600E">
        <w:rPr>
          <w:rStyle w:val="eop"/>
          <w:rFonts w:ascii="Verdana" w:hAnsi="Verdana" w:cs="Segoe UI"/>
          <w:sz w:val="20"/>
          <w:szCs w:val="20"/>
        </w:rPr>
        <w:t> </w:t>
      </w:r>
    </w:p>
    <w:p w:rsidRPr="00C5600E" w:rsidR="00C5600E" w:rsidP="00C5600E" w:rsidRDefault="00C5600E" w14:paraId="1BA81BC2" w14:textId="77777777">
      <w:pPr>
        <w:pStyle w:val="paragraph"/>
        <w:shd w:val="clear" w:color="auto" w:fill="FFFFFF"/>
        <w:spacing w:before="0" w:beforeAutospacing="0" w:after="0" w:afterAutospacing="0"/>
        <w:jc w:val="both"/>
        <w:textAlignment w:val="baseline"/>
        <w:rPr>
          <w:rFonts w:ascii="Verdana" w:hAnsi="Verdana" w:cs="Segoe UI"/>
          <w:sz w:val="18"/>
          <w:szCs w:val="18"/>
        </w:rPr>
      </w:pPr>
      <w:r w:rsidRPr="00C5600E">
        <w:rPr>
          <w:rStyle w:val="normaltextrun"/>
          <w:rFonts w:ascii="Verdana" w:hAnsi="Verdana" w:cs="Segoe UI"/>
          <w:sz w:val="20"/>
          <w:szCs w:val="20"/>
          <w:lang w:val="es-ES"/>
        </w:rPr>
        <w:t>Para la ejecución de este proyecto, la AMSCLAE dotará 16 paneles solares fotovoltaicos de 320W Policristalinos, adquiriendo como compromiso, la supervisión y asistencia técnica para la utilización correcta de los materiales, la socialización de un manual de operación y mantenimiento de los paneles solares y la capacitación al personal designado para la operación del mismo.</w:t>
      </w:r>
      <w:r w:rsidRPr="00C5600E">
        <w:rPr>
          <w:rStyle w:val="eop"/>
          <w:rFonts w:ascii="Verdana" w:hAnsi="Verdana" w:cs="Segoe UI"/>
          <w:sz w:val="20"/>
          <w:szCs w:val="20"/>
        </w:rPr>
        <w:t> </w:t>
      </w:r>
    </w:p>
    <w:p w:rsidR="00C5600E" w:rsidP="00C5600E" w:rsidRDefault="00C5600E" w14:paraId="1EA54F11" w14:textId="3E7D560F">
      <w:pPr>
        <w:pStyle w:val="paragraph"/>
        <w:spacing w:before="0" w:beforeAutospacing="0" w:after="0" w:afterAutospacing="0"/>
        <w:jc w:val="both"/>
        <w:textAlignment w:val="baseline"/>
        <w:rPr>
          <w:rStyle w:val="normaltextrun"/>
          <w:rFonts w:ascii="Verdana" w:hAnsi="Verdana" w:cs="Segoe UI"/>
          <w:sz w:val="20"/>
          <w:szCs w:val="20"/>
          <w:lang w:val="es-ES"/>
        </w:rPr>
      </w:pPr>
      <w:r w:rsidRPr="00C5600E">
        <w:rPr>
          <w:rStyle w:val="normaltextrun"/>
          <w:rFonts w:ascii="Verdana" w:hAnsi="Verdana" w:cs="Segoe UI"/>
          <w:sz w:val="20"/>
          <w:szCs w:val="20"/>
          <w:lang w:val="es-ES"/>
        </w:rPr>
        <w:t>Por su parte el Comité de Agua Potable del Caserío </w:t>
      </w:r>
      <w:proofErr w:type="spellStart"/>
      <w:r w:rsidRPr="00C5600E">
        <w:rPr>
          <w:rStyle w:val="normaltextrun"/>
          <w:rFonts w:ascii="Verdana" w:hAnsi="Verdana" w:cs="Segoe UI"/>
          <w:sz w:val="20"/>
          <w:szCs w:val="20"/>
          <w:lang w:val="es-ES"/>
        </w:rPr>
        <w:t>Xibalbay</w:t>
      </w:r>
      <w:proofErr w:type="spellEnd"/>
      <w:r w:rsidRPr="00C5600E">
        <w:rPr>
          <w:rStyle w:val="normaltextrun"/>
          <w:rFonts w:ascii="Verdana" w:hAnsi="Verdana" w:cs="Segoe UI"/>
          <w:sz w:val="20"/>
          <w:szCs w:val="20"/>
          <w:lang w:val="es-ES"/>
        </w:rPr>
        <w:t>, tendrá el compromiso de implementar acciones que contribuyan a la conservación del bosque y del recurso hídrico, así como la implementación de un reglamento para el servicio de agua potable que regule el uso racional del agua.</w:t>
      </w:r>
    </w:p>
    <w:p w:rsidR="005B346F" w:rsidP="00BC7C07" w:rsidRDefault="00C5600E" w14:paraId="36CAE325" w14:textId="1279135F">
      <w:pPr>
        <w:pStyle w:val="paragraph"/>
        <w:spacing w:before="0" w:beforeAutospacing="0" w:after="0" w:afterAutospacing="0"/>
        <w:jc w:val="center"/>
        <w:textAlignment w:val="baseline"/>
        <w:rPr>
          <w:rStyle w:val="normaltextrun"/>
          <w:rFonts w:ascii="Century Gothic" w:hAnsi="Century Gothic" w:cs="Segoe UI"/>
          <w:sz w:val="20"/>
          <w:szCs w:val="20"/>
          <w:lang w:val="es-419"/>
        </w:rPr>
      </w:pPr>
      <w:r w:rsidR="00C5600E">
        <w:drawing>
          <wp:inline wp14:editId="1E6FE69E" wp14:anchorId="42955B8E">
            <wp:extent cx="1371600" cy="1030682"/>
            <wp:effectExtent l="0" t="0" r="0" b="0"/>
            <wp:docPr id="27" name="Imagen 27" title=""/>
            <wp:cNvGraphicFramePr>
              <a:graphicFrameLocks noChangeAspect="1"/>
            </wp:cNvGraphicFramePr>
            <a:graphic>
              <a:graphicData uri="http://schemas.openxmlformats.org/drawingml/2006/picture">
                <pic:pic>
                  <pic:nvPicPr>
                    <pic:cNvPr id="0" name="Imagen 27"/>
                    <pic:cNvPicPr/>
                  </pic:nvPicPr>
                  <pic:blipFill>
                    <a:blip r:embed="R783548a40cd44b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71600" cy="1030682"/>
                    </a:xfrm>
                    <a:prstGeom prst="rect">
                      <a:avLst/>
                    </a:prstGeom>
                  </pic:spPr>
                </pic:pic>
              </a:graphicData>
            </a:graphic>
          </wp:inline>
        </w:drawing>
      </w:r>
      <w:r w:rsidRPr="5DAC0B5F" w:rsidR="2257A5A8">
        <w:rPr>
          <w:rStyle w:val="normaltextrun"/>
          <w:rFonts w:ascii="Century Gothic" w:hAnsi="Century Gothic" w:cs="Segoe UI"/>
          <w:sz w:val="20"/>
          <w:szCs w:val="20"/>
          <w:lang w:val="es-419"/>
        </w:rPr>
        <w:t>  </w:t>
      </w:r>
      <w:r w:rsidR="00C5600E">
        <w:drawing>
          <wp:inline wp14:editId="6745DAC6" wp14:anchorId="76E63BF6">
            <wp:extent cx="1425115" cy="1066800"/>
            <wp:effectExtent l="0" t="0" r="3810" b="0"/>
            <wp:docPr id="26" name="Imagen 26" title=""/>
            <wp:cNvGraphicFramePr>
              <a:graphicFrameLocks noChangeAspect="1"/>
            </wp:cNvGraphicFramePr>
            <a:graphic>
              <a:graphicData uri="http://schemas.openxmlformats.org/drawingml/2006/picture">
                <pic:pic>
                  <pic:nvPicPr>
                    <pic:cNvPr id="0" name="Imagen 26"/>
                    <pic:cNvPicPr/>
                  </pic:nvPicPr>
                  <pic:blipFill>
                    <a:blip r:embed="Rdd62bf676ba144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25115" cy="1066800"/>
                    </a:xfrm>
                    <a:prstGeom prst="rect">
                      <a:avLst/>
                    </a:prstGeom>
                  </pic:spPr>
                </pic:pic>
              </a:graphicData>
            </a:graphic>
          </wp:inline>
        </w:drawing>
      </w:r>
      <w:r w:rsidRPr="5DAC0B5F" w:rsidR="2257A5A8">
        <w:rPr>
          <w:rStyle w:val="normaltextrun"/>
          <w:rFonts w:ascii="Century Gothic" w:hAnsi="Century Gothic" w:cs="Segoe UI"/>
          <w:sz w:val="20"/>
          <w:szCs w:val="20"/>
          <w:lang w:val="es-419"/>
        </w:rPr>
        <w:t>  </w:t>
      </w:r>
      <w:r w:rsidR="00C5600E">
        <w:drawing>
          <wp:inline wp14:editId="6E1721BA" wp14:anchorId="7997435A">
            <wp:extent cx="1386942" cy="1038225"/>
            <wp:effectExtent l="0" t="0" r="3810" b="0"/>
            <wp:docPr id="25" name="Imagen 25" title=""/>
            <wp:cNvGraphicFramePr>
              <a:graphicFrameLocks noChangeAspect="1"/>
            </wp:cNvGraphicFramePr>
            <a:graphic>
              <a:graphicData uri="http://schemas.openxmlformats.org/drawingml/2006/picture">
                <pic:pic>
                  <pic:nvPicPr>
                    <pic:cNvPr id="0" name="Imagen 25"/>
                    <pic:cNvPicPr/>
                  </pic:nvPicPr>
                  <pic:blipFill>
                    <a:blip r:embed="Rc38138a92c9547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86942" cy="1038225"/>
                    </a:xfrm>
                    <a:prstGeom prst="rect">
                      <a:avLst/>
                    </a:prstGeom>
                  </pic:spPr>
                </pic:pic>
              </a:graphicData>
            </a:graphic>
          </wp:inline>
        </w:drawing>
      </w:r>
    </w:p>
    <w:p w:rsidR="009754EB" w:rsidP="00BC7C07" w:rsidRDefault="009754EB" w14:paraId="49E8ECDE" w14:textId="3DA3A4B9">
      <w:pPr>
        <w:pStyle w:val="paragraph"/>
        <w:spacing w:before="0" w:beforeAutospacing="0" w:after="0" w:afterAutospacing="0"/>
        <w:jc w:val="center"/>
        <w:textAlignment w:val="baseline"/>
        <w:rPr>
          <w:rStyle w:val="normaltextrun"/>
          <w:rFonts w:ascii="Century Gothic" w:hAnsi="Century Gothic" w:cs="Segoe UI"/>
          <w:sz w:val="20"/>
          <w:szCs w:val="20"/>
          <w:lang w:val="es-419"/>
        </w:rPr>
      </w:pPr>
    </w:p>
    <w:p w:rsidR="009754EB" w:rsidP="00BC7C07" w:rsidRDefault="00FF2382" w14:paraId="6471EA97" w14:textId="48991BB1">
      <w:pPr>
        <w:pStyle w:val="paragraph"/>
        <w:spacing w:before="0" w:beforeAutospacing="0" w:after="0" w:afterAutospacing="0"/>
        <w:jc w:val="center"/>
        <w:textAlignment w:val="baseline"/>
        <w:rPr>
          <w:rStyle w:val="normaltextrun"/>
          <w:rFonts w:ascii="Century Gothic" w:hAnsi="Century Gothic" w:cs="Segoe UI"/>
          <w:sz w:val="20"/>
          <w:szCs w:val="20"/>
          <w:lang w:val="es-419"/>
        </w:rPr>
      </w:pPr>
      <w:r>
        <w:rPr>
          <w:noProof/>
        </w:rPr>
        <w:lastRenderedPageBreak/>
        <w:drawing>
          <wp:inline distT="0" distB="0" distL="0" distR="0" wp14:anchorId="34C836EF" wp14:editId="2B1B4307">
            <wp:extent cx="2305050" cy="2613660"/>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47">
                      <a:extLst>
                        <a:ext uri="{28A0092B-C50C-407E-A947-70E740481C1C}">
                          <a14:useLocalDpi xmlns:a14="http://schemas.microsoft.com/office/drawing/2010/main" val="0"/>
                        </a:ext>
                      </a:extLst>
                    </a:blip>
                    <a:srcRect r="34841"/>
                    <a:stretch/>
                  </pic:blipFill>
                  <pic:spPr bwMode="auto">
                    <a:xfrm>
                      <a:off x="0" y="0"/>
                      <a:ext cx="2305050" cy="26136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6B3A74" wp14:editId="78C9A23C">
            <wp:extent cx="546735" cy="2613660"/>
            <wp:effectExtent l="0" t="0" r="5715" b="0"/>
            <wp:docPr id="17" name="Imagen 1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47">
                      <a:extLst>
                        <a:ext uri="{28A0092B-C50C-407E-A947-70E740481C1C}">
                          <a14:useLocalDpi xmlns:a14="http://schemas.microsoft.com/office/drawing/2010/main" val="0"/>
                        </a:ext>
                      </a:extLst>
                    </a:blip>
                    <a:srcRect l="84545"/>
                    <a:stretch/>
                  </pic:blipFill>
                  <pic:spPr bwMode="auto">
                    <a:xfrm>
                      <a:off x="0" y="0"/>
                      <a:ext cx="546735" cy="2613660"/>
                    </a:xfrm>
                    <a:prstGeom prst="rect">
                      <a:avLst/>
                    </a:prstGeom>
                    <a:noFill/>
                    <a:ln>
                      <a:noFill/>
                    </a:ln>
                    <a:extLst>
                      <a:ext uri="{53640926-AAD7-44D8-BBD7-CCE9431645EC}">
                        <a14:shadowObscured xmlns:a14="http://schemas.microsoft.com/office/drawing/2010/main"/>
                      </a:ext>
                    </a:extLst>
                  </pic:spPr>
                </pic:pic>
              </a:graphicData>
            </a:graphic>
          </wp:inline>
        </w:drawing>
      </w:r>
    </w:p>
    <w:p w:rsidR="009754EB" w:rsidP="009754EB" w:rsidRDefault="009754EB" w14:paraId="22EDA3A7" w14:textId="04A1E32B">
      <w:pPr>
        <w:shd w:val="clear" w:color="auto" w:fill="FFFFFF"/>
        <w:spacing w:after="0" w:line="240" w:lineRule="auto"/>
        <w:jc w:val="both"/>
        <w:rPr>
          <w:rFonts w:ascii="Verdana" w:hAnsi="Verdana" w:eastAsia="Times New Roman" w:cs="Segoe UI Historic"/>
          <w:color w:val="FF0000"/>
          <w:sz w:val="20"/>
          <w:szCs w:val="20"/>
          <w:lang w:eastAsia="es-ES"/>
        </w:rPr>
      </w:pPr>
    </w:p>
    <w:p w:rsidR="00FF2382" w:rsidP="00FF2382" w:rsidRDefault="00FF2382" w14:paraId="0267F5FE" w14:textId="77777777">
      <w:pPr>
        <w:jc w:val="both"/>
        <w:rPr>
          <w:b/>
          <w:bCs/>
        </w:rPr>
      </w:pPr>
      <w:r>
        <w:t xml:space="preserve">Se estimó la eficacia mensual (meta programada versus meta ejecutada) del Departamento de Fomento Económico del </w:t>
      </w:r>
      <w:r>
        <w:rPr>
          <w:b/>
          <w:bCs/>
        </w:rPr>
        <w:t>100</w:t>
      </w:r>
      <w:r>
        <w:rPr>
          <w:b/>
        </w:rPr>
        <w:t xml:space="preserve"> %;</w:t>
      </w:r>
      <w:r>
        <w:t xml:space="preserve"> y el avance a nivel anual del </w:t>
      </w:r>
      <w:r>
        <w:rPr>
          <w:b/>
          <w:bCs/>
        </w:rPr>
        <w:t>28.1 %.</w:t>
      </w:r>
    </w:p>
    <w:p w:rsidR="00FF2382" w:rsidP="009754EB" w:rsidRDefault="00FF2382" w14:paraId="6AF56548" w14:textId="633B707E">
      <w:pPr>
        <w:shd w:val="clear" w:color="auto" w:fill="FFFFFF"/>
        <w:spacing w:after="0" w:line="240" w:lineRule="auto"/>
        <w:jc w:val="both"/>
        <w:rPr>
          <w:rFonts w:ascii="Verdana" w:hAnsi="Verdana" w:eastAsia="Times New Roman" w:cs="Segoe UI Historic"/>
          <w:color w:val="FF0000"/>
          <w:sz w:val="20"/>
          <w:szCs w:val="20"/>
          <w:lang w:eastAsia="es-ES"/>
        </w:rPr>
      </w:pPr>
    </w:p>
    <w:p w:rsidR="00FF2382" w:rsidP="00FF2382" w:rsidRDefault="00FF2382" w14:paraId="0D24862A" w14:textId="5E8E5D05">
      <w:pPr>
        <w:jc w:val="both"/>
        <w:rPr>
          <w:b/>
          <w:bCs/>
        </w:rPr>
      </w:pPr>
      <w:r>
        <w:rPr>
          <w:b/>
          <w:bCs/>
        </w:rPr>
        <w:t xml:space="preserve">OTRAS INTERVENCIONES: </w:t>
      </w:r>
    </w:p>
    <w:p w:rsidRPr="00FF2382" w:rsidR="00FF2382" w:rsidP="00F75ED9" w:rsidRDefault="00FF2382" w14:paraId="7A577CFE" w14:textId="01ED4E29">
      <w:pPr>
        <w:pStyle w:val="Prrafodelista"/>
        <w:numPr>
          <w:ilvl w:val="0"/>
          <w:numId w:val="35"/>
        </w:numPr>
        <w:shd w:val="clear" w:color="auto" w:fill="FFFFFF"/>
        <w:spacing w:after="0" w:line="240" w:lineRule="auto"/>
        <w:jc w:val="both"/>
        <w:rPr>
          <w:rFonts w:ascii="Verdana" w:hAnsi="Verdana" w:eastAsia="Times New Roman" w:cs="Segoe UI Historic"/>
          <w:color w:val="FF0000"/>
          <w:sz w:val="20"/>
          <w:szCs w:val="20"/>
          <w:lang w:eastAsia="es-ES"/>
        </w:rPr>
      </w:pPr>
      <w:r>
        <w:t>Filmación de video del centro de reciclaje de Panajachel para campaña promocional.</w:t>
      </w:r>
    </w:p>
    <w:p w:rsidRPr="009754EB" w:rsidR="009754EB" w:rsidP="00BC7C07" w:rsidRDefault="009754EB" w14:paraId="4B8145FF" w14:textId="396719E9">
      <w:pPr>
        <w:pStyle w:val="paragraph"/>
        <w:spacing w:before="0" w:beforeAutospacing="0" w:after="0" w:afterAutospacing="0"/>
        <w:jc w:val="center"/>
        <w:textAlignment w:val="baseline"/>
        <w:rPr>
          <w:rStyle w:val="normaltextrun"/>
          <w:rFonts w:ascii="Century Gothic" w:hAnsi="Century Gothic" w:cs="Segoe UI"/>
          <w:sz w:val="20"/>
          <w:szCs w:val="20"/>
        </w:rPr>
      </w:pPr>
    </w:p>
    <w:p w:rsidR="009754EB" w:rsidP="00BC7C07" w:rsidRDefault="009754EB" w14:paraId="4359CF85" w14:textId="677AECEB">
      <w:pPr>
        <w:pStyle w:val="paragraph"/>
        <w:spacing w:before="0" w:beforeAutospacing="0" w:after="0" w:afterAutospacing="0"/>
        <w:jc w:val="center"/>
        <w:textAlignment w:val="baseline"/>
        <w:rPr>
          <w:rStyle w:val="normaltextrun"/>
          <w:rFonts w:ascii="Century Gothic" w:hAnsi="Century Gothic" w:cs="Segoe UI"/>
          <w:sz w:val="20"/>
          <w:szCs w:val="20"/>
          <w:lang w:val="es-419"/>
        </w:rPr>
      </w:pPr>
    </w:p>
    <w:p w:rsidRPr="00AC18C4" w:rsidR="00576043" w:rsidP="006C0738" w:rsidRDefault="00576043" w14:paraId="3C32B18F" w14:textId="018CAFA0">
      <w:pPr>
        <w:pStyle w:val="Sinespaciado"/>
        <w:numPr>
          <w:ilvl w:val="0"/>
          <w:numId w:val="33"/>
        </w:numPr>
        <w:ind w:left="-284" w:right="-660"/>
        <w:rPr>
          <w:rFonts w:ascii="Verdana" w:hAnsi="Verdana" w:cs="Arial"/>
          <w:b/>
          <w:bCs/>
          <w:sz w:val="20"/>
          <w:szCs w:val="20"/>
          <w:u w:val="single"/>
        </w:rPr>
      </w:pPr>
      <w:r w:rsidRPr="00AC18C4">
        <w:rPr>
          <w:rFonts w:ascii="Verdana" w:hAnsi="Verdana" w:cs="Arial"/>
          <w:b/>
          <w:bCs/>
          <w:sz w:val="20"/>
          <w:szCs w:val="20"/>
          <w:u w:val="single"/>
        </w:rPr>
        <w:t>SEGUIMIENTO COMPROMISOS INSTITUCIONALES:</w:t>
      </w:r>
    </w:p>
    <w:p w:rsidRPr="00AC18C4" w:rsidR="00F26A8C" w:rsidP="0059281C" w:rsidRDefault="00F26A8C" w14:paraId="06D34C75" w14:textId="7328D85A">
      <w:pPr>
        <w:pStyle w:val="Sinespaciado"/>
        <w:ind w:left="-284" w:right="-660"/>
        <w:jc w:val="center"/>
        <w:rPr>
          <w:rFonts w:ascii="Verdana" w:hAnsi="Verdana" w:cs="Arial"/>
          <w:sz w:val="20"/>
          <w:szCs w:val="20"/>
        </w:rPr>
      </w:pPr>
    </w:p>
    <w:p w:rsidR="00B82E83" w:rsidP="00B82E83" w:rsidRDefault="003C26F0" w14:paraId="45904D71" w14:textId="155522B2">
      <w:pPr>
        <w:pStyle w:val="Sinespaciado"/>
        <w:ind w:left="-716" w:right="-660"/>
        <w:jc w:val="both"/>
        <w:rPr>
          <w:rFonts w:ascii="Verdana" w:hAnsi="Verdana" w:cs="Arial"/>
          <w:sz w:val="20"/>
          <w:szCs w:val="20"/>
        </w:rPr>
      </w:pPr>
      <w:r w:rsidRPr="00AC18C4">
        <w:rPr>
          <w:rFonts w:ascii="Verdana" w:hAnsi="Verdana" w:cs="Arial"/>
          <w:sz w:val="20"/>
          <w:szCs w:val="20"/>
        </w:rPr>
        <w:t xml:space="preserve">Con la coordinación ejecutiva de la AMSCLAE </w:t>
      </w:r>
      <w:r w:rsidR="001B3C6F">
        <w:rPr>
          <w:rFonts w:ascii="Verdana" w:hAnsi="Verdana" w:cs="Arial"/>
          <w:sz w:val="20"/>
          <w:szCs w:val="20"/>
        </w:rPr>
        <w:t>se llevaron a cabo 2 sesiones ordinarias, en las que se dieron a conocer los avances en las articulaciones y gestiones que promueve la AMSCLAE, así como análisis de los retos más relevantes en materia de atención a denuncias e incumplimientos legales y ambientales; estado ecológico del lago Atitlán y estrategias de inversión promovidas para atender las necesidades de inversión en tratamiento de residuos sólidos y aguas residuales</w:t>
      </w:r>
      <w:r w:rsidRPr="00AC18C4" w:rsidR="00FD4829">
        <w:rPr>
          <w:rFonts w:ascii="Verdana" w:hAnsi="Verdana" w:cs="Arial"/>
          <w:sz w:val="20"/>
          <w:szCs w:val="20"/>
        </w:rPr>
        <w:t xml:space="preserve">. </w:t>
      </w:r>
      <w:r w:rsidRPr="00AC18C4">
        <w:rPr>
          <w:rFonts w:ascii="Verdana" w:hAnsi="Verdana" w:cs="Arial"/>
          <w:sz w:val="20"/>
          <w:szCs w:val="20"/>
        </w:rPr>
        <w:t xml:space="preserve"> </w:t>
      </w:r>
    </w:p>
    <w:p w:rsidR="00B82E83" w:rsidP="00B82E83" w:rsidRDefault="00B82E83" w14:paraId="7840F73E" w14:textId="77777777">
      <w:pPr>
        <w:pStyle w:val="Sinespaciado"/>
        <w:ind w:left="-716" w:right="-660"/>
        <w:jc w:val="both"/>
        <w:rPr>
          <w:rFonts w:ascii="Verdana" w:hAnsi="Verdana" w:cs="Arial"/>
          <w:sz w:val="20"/>
          <w:szCs w:val="20"/>
        </w:rPr>
      </w:pPr>
    </w:p>
    <w:p w:rsidRPr="001B3C6F" w:rsidR="00B82E83" w:rsidP="00B82E83" w:rsidRDefault="00B82E83" w14:paraId="138A0AD0" w14:textId="2CA77DDF">
      <w:pPr>
        <w:pStyle w:val="Sinespaciado"/>
        <w:ind w:left="-716" w:right="-660"/>
        <w:jc w:val="both"/>
        <w:rPr>
          <w:rFonts w:ascii="Verdana" w:hAnsi="Verdana" w:cs="Arial"/>
          <w:sz w:val="20"/>
          <w:szCs w:val="20"/>
        </w:rPr>
      </w:pPr>
      <w:r w:rsidRPr="001B3C6F">
        <w:rPr>
          <w:rFonts w:ascii="Verdana" w:hAnsi="Verdana" w:cs="Arial"/>
          <w:sz w:val="20"/>
          <w:szCs w:val="20"/>
        </w:rPr>
        <w:t>Para ampliar la cobertura de coordinación interinstitucional se han celebrado los convenios</w:t>
      </w:r>
      <w:r w:rsidRPr="001B3C6F" w:rsidR="001B3C6F">
        <w:rPr>
          <w:rFonts w:ascii="Verdana" w:hAnsi="Verdana" w:cs="Arial"/>
          <w:sz w:val="20"/>
          <w:szCs w:val="20"/>
        </w:rPr>
        <w:t xml:space="preserve">: </w:t>
      </w:r>
      <w:r w:rsidR="001F10B8">
        <w:rPr>
          <w:rFonts w:ascii="Verdana" w:hAnsi="Verdana" w:cs="Arial"/>
          <w:sz w:val="20"/>
          <w:szCs w:val="20"/>
        </w:rPr>
        <w:tab/>
      </w:r>
      <w:r w:rsidRPr="001B3C6F" w:rsidR="001B3C6F">
        <w:rPr>
          <w:rFonts w:ascii="Verdana" w:hAnsi="Verdana" w:cs="Arial"/>
          <w:sz w:val="20"/>
          <w:szCs w:val="20"/>
        </w:rPr>
        <w:t xml:space="preserve">entre la AMSCLAE y la Asociación Acción Contra el Hambre Guatemala y </w:t>
      </w:r>
      <w:proofErr w:type="spellStart"/>
      <w:r w:rsidRPr="001B3C6F" w:rsidR="001B3C6F">
        <w:rPr>
          <w:rFonts w:ascii="Verdana" w:hAnsi="Verdana" w:cs="Arial"/>
          <w:sz w:val="20"/>
          <w:szCs w:val="20"/>
        </w:rPr>
        <w:t>Helvetas</w:t>
      </w:r>
      <w:proofErr w:type="spellEnd"/>
      <w:r w:rsidRPr="001B3C6F" w:rsidR="001B3C6F">
        <w:rPr>
          <w:rFonts w:ascii="Verdana" w:hAnsi="Verdana" w:cs="Arial"/>
          <w:sz w:val="20"/>
          <w:szCs w:val="20"/>
        </w:rPr>
        <w:t xml:space="preserve"> Guatemala, en el marco del programa RUK'U'X'YA de fecha 20 de enero 2021; Convenio de Cooperación Interinstitucional Número 02-2021 que esta Autoridad firmó con El Comité de Agua Potable por Bombeo y Gravedad El Manantial, del Caserío </w:t>
      </w:r>
      <w:proofErr w:type="spellStart"/>
      <w:r w:rsidRPr="001B3C6F" w:rsidR="001B3C6F">
        <w:rPr>
          <w:rFonts w:ascii="Verdana" w:hAnsi="Verdana" w:cs="Arial"/>
          <w:sz w:val="20"/>
          <w:szCs w:val="20"/>
        </w:rPr>
        <w:t>Xibalbay</w:t>
      </w:r>
      <w:proofErr w:type="spellEnd"/>
      <w:r w:rsidRPr="001B3C6F" w:rsidR="001B3C6F">
        <w:rPr>
          <w:rFonts w:ascii="Verdana" w:hAnsi="Verdana" w:cs="Arial"/>
          <w:sz w:val="20"/>
          <w:szCs w:val="20"/>
        </w:rPr>
        <w:t xml:space="preserve">, Aldea Chaquijyá, Sololá, de fecha 01 de febrero de 2021; Adenda al Convenio de Cooperación Interinstitucional Número 02-2020 que esta Autoridad firmó con Municipalidad de San Marcos La Laguna, Sololá, de fecha 18 de marzo de 2021; </w:t>
      </w:r>
      <w:r w:rsidRPr="001B3C6F">
        <w:rPr>
          <w:rFonts w:ascii="Verdana" w:hAnsi="Verdana" w:cs="Arial"/>
          <w:sz w:val="20"/>
          <w:szCs w:val="20"/>
        </w:rPr>
        <w:t xml:space="preserve"> </w:t>
      </w:r>
    </w:p>
    <w:p w:rsidRPr="001B3C6F" w:rsidR="007A2694" w:rsidP="005F67D2" w:rsidRDefault="007A2694" w14:paraId="65E97C7A" w14:textId="2F90F041">
      <w:pPr>
        <w:pStyle w:val="Sinespaciado"/>
        <w:ind w:left="-284" w:right="-660"/>
        <w:jc w:val="both"/>
        <w:rPr>
          <w:rFonts w:ascii="Verdana" w:hAnsi="Verdana" w:cs="Arial"/>
          <w:sz w:val="20"/>
          <w:szCs w:val="20"/>
        </w:rPr>
      </w:pPr>
    </w:p>
    <w:p w:rsidR="001B3C6F" w:rsidP="005F67D2" w:rsidRDefault="001B3C6F" w14:paraId="665DBBFC" w14:textId="3501B29A">
      <w:pPr>
        <w:pStyle w:val="Sinespaciado"/>
        <w:ind w:left="-284" w:right="-660"/>
        <w:jc w:val="both"/>
        <w:rPr>
          <w:rFonts w:ascii="Verdana" w:hAnsi="Verdana" w:cs="Arial"/>
          <w:sz w:val="20"/>
          <w:szCs w:val="20"/>
        </w:rPr>
      </w:pPr>
    </w:p>
    <w:p w:rsidR="001B3C6F" w:rsidP="005F67D2" w:rsidRDefault="001B3C6F" w14:paraId="1D2D81AF" w14:textId="77777777">
      <w:pPr>
        <w:pStyle w:val="Sinespaciado"/>
        <w:ind w:left="-284" w:right="-660"/>
        <w:jc w:val="both"/>
        <w:rPr>
          <w:rFonts w:ascii="Verdana" w:hAnsi="Verdana" w:cs="Arial"/>
          <w:sz w:val="20"/>
          <w:szCs w:val="20"/>
        </w:rPr>
      </w:pPr>
    </w:p>
    <w:p w:rsidRPr="00AC18C4" w:rsidR="001B3C6F" w:rsidP="005F67D2" w:rsidRDefault="001B3C6F" w14:paraId="2FB78C5F" w14:textId="77777777">
      <w:pPr>
        <w:pStyle w:val="Sinespaciado"/>
        <w:ind w:left="-284" w:right="-660"/>
        <w:jc w:val="both"/>
        <w:rPr>
          <w:rFonts w:ascii="Verdana" w:hAnsi="Verdana" w:cs="Arial"/>
          <w:sz w:val="20"/>
          <w:szCs w:val="20"/>
        </w:rPr>
      </w:pPr>
    </w:p>
    <w:p w:rsidRPr="00AC18C4" w:rsidR="003C26F0" w:rsidP="003C26F0" w:rsidRDefault="003C26F0" w14:paraId="4A32D4A3" w14:textId="74BE27B0">
      <w:pPr>
        <w:pStyle w:val="Sinespaciado"/>
        <w:ind w:left="-284" w:right="-660"/>
        <w:jc w:val="both"/>
        <w:rPr>
          <w:rFonts w:ascii="Verdana" w:hAnsi="Verdana" w:cs="Arial"/>
          <w:sz w:val="20"/>
          <w:szCs w:val="20"/>
        </w:rPr>
      </w:pPr>
    </w:p>
    <w:p w:rsidRPr="00B82E83" w:rsidR="00B82E83" w:rsidP="006C0738" w:rsidRDefault="00B82E83" w14:paraId="4943DFDF" w14:textId="09A07B36">
      <w:pPr>
        <w:pStyle w:val="Sinespaciado"/>
        <w:numPr>
          <w:ilvl w:val="0"/>
          <w:numId w:val="33"/>
        </w:numPr>
        <w:ind w:left="-284" w:right="-660"/>
        <w:rPr>
          <w:rFonts w:ascii="Verdana" w:hAnsi="Verdana" w:cs="Arial"/>
          <w:b/>
          <w:bCs/>
          <w:sz w:val="20"/>
          <w:szCs w:val="20"/>
          <w:u w:val="single"/>
        </w:rPr>
      </w:pPr>
      <w:r>
        <w:rPr>
          <w:rFonts w:ascii="Verdana" w:hAnsi="Verdana" w:cs="Arial"/>
          <w:b/>
          <w:bCs/>
          <w:sz w:val="20"/>
          <w:szCs w:val="20"/>
          <w:u w:val="single"/>
        </w:rPr>
        <w:t>RESPECTO A LA EJECUCIÓN FINANCIERA Y EJECUCIÓN DE METAS</w:t>
      </w:r>
      <w:r w:rsidRPr="00AC18C4">
        <w:rPr>
          <w:rFonts w:ascii="Verdana" w:hAnsi="Verdana" w:cs="Arial"/>
          <w:b/>
          <w:bCs/>
          <w:sz w:val="20"/>
          <w:szCs w:val="20"/>
          <w:u w:val="single"/>
        </w:rPr>
        <w:t>.</w:t>
      </w:r>
    </w:p>
    <w:p w:rsidR="006E4F0C" w:rsidP="006E4F0C" w:rsidRDefault="006E4F0C" w14:paraId="1F347967" w14:textId="77777777">
      <w:pPr>
        <w:pStyle w:val="Sinespaciado"/>
        <w:ind w:left="-716" w:right="-660"/>
        <w:jc w:val="both"/>
        <w:rPr>
          <w:rFonts w:ascii="Verdana" w:hAnsi="Verdana" w:cs="Arial"/>
          <w:sz w:val="20"/>
          <w:szCs w:val="20"/>
        </w:rPr>
      </w:pPr>
    </w:p>
    <w:p w:rsidR="006E4F0C" w:rsidP="006E4F0C" w:rsidRDefault="006E4F0C" w14:paraId="3B222229" w14:textId="77777777">
      <w:pPr>
        <w:pStyle w:val="Sinespaciado"/>
        <w:ind w:left="-716" w:right="-660"/>
        <w:jc w:val="both"/>
        <w:rPr>
          <w:rFonts w:ascii="Verdana" w:hAnsi="Verdana" w:cs="Arial"/>
          <w:sz w:val="20"/>
          <w:szCs w:val="20"/>
        </w:rPr>
      </w:pPr>
      <w:r>
        <w:rPr>
          <w:rFonts w:ascii="Verdana" w:hAnsi="Verdana" w:cs="Arial"/>
          <w:sz w:val="20"/>
          <w:szCs w:val="20"/>
        </w:rPr>
        <w:t>Para el primer cuatrimestre del ejercicio fiscal 2021 la AMSCLAE han invertidos Q 2,955,395.46 de la siguiente manera y en los siguientes grupos de gasto:</w:t>
      </w:r>
    </w:p>
    <w:p w:rsidR="006E4F0C" w:rsidP="006E4F0C" w:rsidRDefault="006E4F0C" w14:paraId="27854C26" w14:textId="77777777">
      <w:pPr>
        <w:pStyle w:val="Sinespaciado"/>
        <w:ind w:left="-716" w:right="-660"/>
        <w:jc w:val="both"/>
        <w:rPr>
          <w:rFonts w:ascii="Verdana" w:hAnsi="Verdana" w:cs="Arial"/>
          <w:sz w:val="20"/>
          <w:szCs w:val="20"/>
        </w:rPr>
      </w:pPr>
    </w:p>
    <w:p w:rsidR="006E4F0C" w:rsidP="006E4F0C" w:rsidRDefault="006E4F0C" w14:paraId="3FC70BB2" w14:textId="77777777">
      <w:pPr>
        <w:pStyle w:val="Sinespaciado"/>
        <w:ind w:left="-716" w:right="-660"/>
        <w:jc w:val="both"/>
        <w:rPr>
          <w:rFonts w:ascii="Verdana" w:hAnsi="Verdana" w:cs="Arial"/>
          <w:sz w:val="20"/>
          <w:szCs w:val="20"/>
        </w:rPr>
      </w:pPr>
    </w:p>
    <w:p w:rsidR="006E4F0C" w:rsidP="006E4F0C" w:rsidRDefault="006E4F0C" w14:paraId="521886DA" w14:textId="4D48BBB0">
      <w:pPr>
        <w:pStyle w:val="Sinespaciado"/>
        <w:numPr>
          <w:ilvl w:val="0"/>
          <w:numId w:val="32"/>
        </w:numPr>
        <w:ind w:right="-660"/>
        <w:jc w:val="both"/>
        <w:rPr>
          <w:rFonts w:ascii="Verdana" w:hAnsi="Verdana" w:cs="Arial"/>
          <w:sz w:val="20"/>
          <w:szCs w:val="20"/>
        </w:rPr>
      </w:pPr>
      <w:r>
        <w:rPr>
          <w:rFonts w:ascii="Verdana" w:hAnsi="Verdana" w:cs="Arial"/>
          <w:b/>
          <w:bCs/>
          <w:sz w:val="20"/>
          <w:szCs w:val="20"/>
          <w:u w:val="single"/>
        </w:rPr>
        <w:t>EJECUCIÓN FINANCIERA</w:t>
      </w:r>
    </w:p>
    <w:p w:rsidR="006E4F0C" w:rsidP="006E4F0C" w:rsidRDefault="006E4F0C" w14:paraId="11FA3536" w14:textId="77777777">
      <w:pPr>
        <w:pStyle w:val="Sinespaciado"/>
        <w:ind w:left="-716" w:right="-660"/>
        <w:jc w:val="both"/>
        <w:rPr>
          <w:rFonts w:ascii="Verdana" w:hAnsi="Verdana" w:cs="Arial"/>
          <w:sz w:val="20"/>
          <w:szCs w:val="20"/>
        </w:rPr>
      </w:pPr>
      <w:r w:rsidRPr="00DE280A">
        <w:rPr>
          <w:noProof/>
        </w:rPr>
        <w:drawing>
          <wp:inline distT="0" distB="0" distL="0" distR="0" wp14:anchorId="03FF58A9" wp14:editId="75F8FDBE">
            <wp:extent cx="6679096" cy="4777796"/>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85355" cy="4782273"/>
                    </a:xfrm>
                    <a:prstGeom prst="rect">
                      <a:avLst/>
                    </a:prstGeom>
                    <a:noFill/>
                    <a:ln>
                      <a:noFill/>
                    </a:ln>
                  </pic:spPr>
                </pic:pic>
              </a:graphicData>
            </a:graphic>
          </wp:inline>
        </w:drawing>
      </w:r>
    </w:p>
    <w:p w:rsidR="006E4F0C" w:rsidP="006E4F0C" w:rsidRDefault="006E4F0C" w14:paraId="46D80E31" w14:textId="77777777">
      <w:pPr>
        <w:pStyle w:val="Sinespaciado"/>
        <w:ind w:left="-716" w:right="-660"/>
        <w:jc w:val="both"/>
        <w:rPr>
          <w:rFonts w:ascii="Verdana" w:hAnsi="Verdana" w:cs="Arial"/>
          <w:sz w:val="20"/>
          <w:szCs w:val="20"/>
        </w:rPr>
      </w:pPr>
    </w:p>
    <w:p w:rsidR="006E4F0C" w:rsidP="006E4F0C" w:rsidRDefault="006E4F0C" w14:paraId="69A542C4" w14:textId="75D4D1D7">
      <w:pPr>
        <w:pStyle w:val="Sinespaciado"/>
        <w:ind w:left="-716" w:right="-660"/>
        <w:jc w:val="both"/>
        <w:rPr>
          <w:rFonts w:ascii="Verdana" w:hAnsi="Verdana" w:cs="Arial"/>
          <w:iCs/>
          <w:sz w:val="20"/>
          <w:szCs w:val="20"/>
        </w:rPr>
      </w:pPr>
    </w:p>
    <w:p w:rsidR="001B3C6F" w:rsidP="006E4F0C" w:rsidRDefault="001B3C6F" w14:paraId="008318F3" w14:textId="4060CEDC">
      <w:pPr>
        <w:pStyle w:val="Sinespaciado"/>
        <w:ind w:left="-716" w:right="-660"/>
        <w:jc w:val="both"/>
        <w:rPr>
          <w:rFonts w:ascii="Verdana" w:hAnsi="Verdana" w:cs="Arial"/>
          <w:iCs/>
          <w:sz w:val="20"/>
          <w:szCs w:val="20"/>
        </w:rPr>
      </w:pPr>
    </w:p>
    <w:p w:rsidR="001B3C6F" w:rsidP="006E4F0C" w:rsidRDefault="001B3C6F" w14:paraId="5CECAAAF" w14:textId="7E5CDBEE">
      <w:pPr>
        <w:pStyle w:val="Sinespaciado"/>
        <w:ind w:left="-716" w:right="-660"/>
        <w:jc w:val="both"/>
        <w:rPr>
          <w:rFonts w:ascii="Verdana" w:hAnsi="Verdana" w:cs="Arial"/>
          <w:iCs/>
          <w:sz w:val="20"/>
          <w:szCs w:val="20"/>
        </w:rPr>
      </w:pPr>
    </w:p>
    <w:p w:rsidR="001B3C6F" w:rsidP="006E4F0C" w:rsidRDefault="001B3C6F" w14:paraId="4B6E29EE" w14:textId="5C4B5BA9">
      <w:pPr>
        <w:pStyle w:val="Sinespaciado"/>
        <w:ind w:left="-716" w:right="-660"/>
        <w:jc w:val="both"/>
        <w:rPr>
          <w:rFonts w:ascii="Verdana" w:hAnsi="Verdana" w:cs="Arial"/>
          <w:iCs/>
          <w:sz w:val="20"/>
          <w:szCs w:val="20"/>
        </w:rPr>
      </w:pPr>
    </w:p>
    <w:p w:rsidR="001B3C6F" w:rsidP="006E4F0C" w:rsidRDefault="001B3C6F" w14:paraId="5208582E" w14:textId="252BCB3B">
      <w:pPr>
        <w:pStyle w:val="Sinespaciado"/>
        <w:ind w:left="-716" w:right="-660"/>
        <w:jc w:val="both"/>
        <w:rPr>
          <w:rFonts w:ascii="Verdana" w:hAnsi="Verdana" w:cs="Arial"/>
          <w:iCs/>
          <w:sz w:val="20"/>
          <w:szCs w:val="20"/>
        </w:rPr>
      </w:pPr>
    </w:p>
    <w:p w:rsidR="001B3C6F" w:rsidP="006E4F0C" w:rsidRDefault="001B3C6F" w14:paraId="1C206D34" w14:textId="77777777">
      <w:pPr>
        <w:pStyle w:val="Sinespaciado"/>
        <w:ind w:left="-716" w:right="-660"/>
        <w:jc w:val="both"/>
        <w:rPr>
          <w:rFonts w:ascii="Verdana" w:hAnsi="Verdana" w:cs="Arial"/>
          <w:iCs/>
          <w:sz w:val="20"/>
          <w:szCs w:val="20"/>
        </w:rPr>
      </w:pPr>
    </w:p>
    <w:p w:rsidR="006E4F0C" w:rsidP="006E4F0C" w:rsidRDefault="006E4F0C" w14:paraId="5B4F6CA0" w14:textId="3F98ACCF">
      <w:pPr>
        <w:pStyle w:val="Sinespaciado"/>
        <w:numPr>
          <w:ilvl w:val="0"/>
          <w:numId w:val="32"/>
        </w:numPr>
        <w:ind w:right="-660"/>
        <w:jc w:val="both"/>
        <w:rPr>
          <w:rFonts w:ascii="Verdana" w:hAnsi="Verdana" w:cs="Arial"/>
          <w:b/>
          <w:bCs/>
          <w:sz w:val="20"/>
          <w:szCs w:val="20"/>
          <w:u w:val="single"/>
        </w:rPr>
      </w:pPr>
      <w:r>
        <w:rPr>
          <w:rFonts w:ascii="Verdana" w:hAnsi="Verdana" w:cs="Arial"/>
          <w:b/>
          <w:bCs/>
          <w:sz w:val="20"/>
          <w:szCs w:val="20"/>
          <w:u w:val="single"/>
        </w:rPr>
        <w:lastRenderedPageBreak/>
        <w:t>EJECUCIÓN DE METAS FÍSICAS</w:t>
      </w:r>
      <w:r w:rsidRPr="00AC18C4">
        <w:rPr>
          <w:rFonts w:ascii="Verdana" w:hAnsi="Verdana" w:cs="Arial"/>
          <w:b/>
          <w:bCs/>
          <w:sz w:val="20"/>
          <w:szCs w:val="20"/>
          <w:u w:val="single"/>
        </w:rPr>
        <w:t>.</w:t>
      </w:r>
    </w:p>
    <w:p w:rsidR="006E4F0C" w:rsidP="006E4F0C" w:rsidRDefault="006E4F0C" w14:paraId="1107119E" w14:textId="77777777">
      <w:pPr>
        <w:pStyle w:val="Sinespaciado"/>
        <w:ind w:left="-716" w:right="-660"/>
        <w:jc w:val="both"/>
        <w:rPr>
          <w:rFonts w:ascii="Verdana" w:hAnsi="Verdana" w:cs="Arial"/>
          <w:sz w:val="20"/>
          <w:szCs w:val="20"/>
        </w:rPr>
      </w:pPr>
    </w:p>
    <w:tbl>
      <w:tblPr>
        <w:tblW w:w="8969" w:type="dxa"/>
        <w:tblCellMar>
          <w:left w:w="70" w:type="dxa"/>
          <w:right w:w="70" w:type="dxa"/>
        </w:tblCellMar>
        <w:tblLook w:val="04A0" w:firstRow="1" w:lastRow="0" w:firstColumn="1" w:lastColumn="0" w:noHBand="0" w:noVBand="1"/>
      </w:tblPr>
      <w:tblGrid>
        <w:gridCol w:w="1381"/>
        <w:gridCol w:w="2489"/>
        <w:gridCol w:w="1095"/>
        <w:gridCol w:w="787"/>
        <w:gridCol w:w="688"/>
        <w:gridCol w:w="536"/>
        <w:gridCol w:w="766"/>
        <w:gridCol w:w="374"/>
        <w:gridCol w:w="853"/>
      </w:tblGrid>
      <w:tr w:rsidRPr="001B3C6F" w:rsidR="006E4F0C" w:rsidTr="001B3C6F" w14:paraId="4597CAC4" w14:textId="77777777">
        <w:trPr>
          <w:trHeight w:val="20"/>
          <w:tblHeader/>
        </w:trPr>
        <w:tc>
          <w:tcPr>
            <w:tcW w:w="1413" w:type="dxa"/>
            <w:vMerge w:val="restart"/>
            <w:tcBorders>
              <w:top w:val="single" w:color="auto" w:sz="4" w:space="0"/>
              <w:left w:val="single" w:color="auto" w:sz="4" w:space="0"/>
              <w:bottom w:val="single" w:color="auto" w:sz="4" w:space="0"/>
              <w:right w:val="single" w:color="auto" w:sz="4" w:space="0"/>
            </w:tcBorders>
            <w:shd w:val="clear" w:color="000000" w:fill="BFBFBF"/>
            <w:vAlign w:val="center"/>
            <w:hideMark/>
          </w:tcPr>
          <w:p w:rsidRPr="001B3C6F" w:rsidR="006E4F0C" w:rsidP="00A728F5" w:rsidRDefault="006E4F0C" w14:paraId="573B858E"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ÁREA RESPONSABLE</w:t>
            </w:r>
          </w:p>
        </w:tc>
        <w:tc>
          <w:tcPr>
            <w:tcW w:w="2489" w:type="dxa"/>
            <w:vMerge w:val="restart"/>
            <w:tcBorders>
              <w:top w:val="single" w:color="auto" w:sz="4" w:space="0"/>
              <w:left w:val="single" w:color="auto" w:sz="4" w:space="0"/>
              <w:bottom w:val="single" w:color="auto" w:sz="4" w:space="0"/>
              <w:right w:val="nil"/>
            </w:tcBorders>
            <w:shd w:val="clear" w:color="000000" w:fill="BFBFBF"/>
            <w:noWrap/>
            <w:vAlign w:val="center"/>
            <w:hideMark/>
          </w:tcPr>
          <w:p w:rsidRPr="001B3C6F" w:rsidR="006E4F0C" w:rsidP="00A728F5" w:rsidRDefault="006E4F0C" w14:paraId="217F8A67"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META</w:t>
            </w:r>
          </w:p>
        </w:tc>
        <w:tc>
          <w:tcPr>
            <w:tcW w:w="1063" w:type="dxa"/>
            <w:vMerge w:val="restart"/>
            <w:tcBorders>
              <w:top w:val="single" w:color="auto" w:sz="4" w:space="0"/>
              <w:left w:val="single" w:color="auto" w:sz="4" w:space="0"/>
              <w:bottom w:val="single" w:color="000000" w:sz="4" w:space="0"/>
              <w:right w:val="single" w:color="auto" w:sz="4" w:space="0"/>
            </w:tcBorders>
            <w:shd w:val="clear" w:color="000000" w:fill="BFBFBF"/>
            <w:vAlign w:val="center"/>
            <w:hideMark/>
          </w:tcPr>
          <w:p w:rsidRPr="001B3C6F" w:rsidR="006E4F0C" w:rsidP="00A728F5" w:rsidRDefault="006E4F0C" w14:paraId="34ED67E3"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Unidad de medida</w:t>
            </w:r>
          </w:p>
        </w:tc>
        <w:tc>
          <w:tcPr>
            <w:tcW w:w="1475" w:type="dxa"/>
            <w:gridSpan w:val="2"/>
            <w:tcBorders>
              <w:top w:val="single" w:color="auto" w:sz="4" w:space="0"/>
              <w:left w:val="nil"/>
              <w:bottom w:val="single" w:color="auto" w:sz="4" w:space="0"/>
              <w:right w:val="nil"/>
            </w:tcBorders>
            <w:shd w:val="clear" w:color="000000" w:fill="BFBFBF"/>
            <w:vAlign w:val="bottom"/>
            <w:hideMark/>
          </w:tcPr>
          <w:p w:rsidRPr="001B3C6F" w:rsidR="006E4F0C" w:rsidP="00A728F5" w:rsidRDefault="006E4F0C" w14:paraId="12B73A79" w14:textId="77777777">
            <w:pPr>
              <w:spacing w:after="0" w:line="240" w:lineRule="auto"/>
              <w:jc w:val="center"/>
              <w:rPr>
                <w:rFonts w:ascii="Calibri" w:hAnsi="Calibri" w:eastAsia="Times New Roman" w:cs="Calibri"/>
                <w:b/>
                <w:bCs/>
                <w:i/>
                <w:iCs/>
                <w:color w:val="000000"/>
                <w:sz w:val="20"/>
                <w:szCs w:val="20"/>
                <w:lang w:eastAsia="es-GT"/>
              </w:rPr>
            </w:pPr>
            <w:r w:rsidRPr="001B3C6F">
              <w:rPr>
                <w:rFonts w:ascii="Calibri" w:hAnsi="Calibri" w:eastAsia="Times New Roman" w:cs="Calibri"/>
                <w:b/>
                <w:bCs/>
                <w:i/>
                <w:iCs/>
                <w:color w:val="000000"/>
                <w:sz w:val="20"/>
                <w:szCs w:val="20"/>
                <w:lang w:eastAsia="es-GT"/>
              </w:rPr>
              <w:t>EJECUCIÓN FISICA - 2020</w:t>
            </w:r>
          </w:p>
        </w:tc>
        <w:tc>
          <w:tcPr>
            <w:tcW w:w="2529" w:type="dxa"/>
            <w:gridSpan w:val="4"/>
            <w:vMerge w:val="restart"/>
            <w:tcBorders>
              <w:top w:val="single" w:color="auto" w:sz="4" w:space="0"/>
              <w:left w:val="single" w:color="auto" w:sz="4" w:space="0"/>
              <w:bottom w:val="single" w:color="auto" w:sz="4" w:space="0"/>
              <w:right w:val="single" w:color="auto" w:sz="4" w:space="0"/>
            </w:tcBorders>
            <w:shd w:val="clear" w:color="000000" w:fill="BFBFBF"/>
            <w:vAlign w:val="center"/>
            <w:hideMark/>
          </w:tcPr>
          <w:p w:rsidRPr="001B3C6F" w:rsidR="006E4F0C" w:rsidP="00A728F5" w:rsidRDefault="006E4F0C" w14:paraId="1A4AE09E" w14:textId="77777777">
            <w:pPr>
              <w:spacing w:after="0" w:line="240" w:lineRule="auto"/>
              <w:jc w:val="center"/>
              <w:rPr>
                <w:rFonts w:ascii="Calibri" w:hAnsi="Calibri" w:eastAsia="Times New Roman" w:cs="Calibri"/>
                <w:b/>
                <w:bCs/>
                <w:i/>
                <w:iCs/>
                <w:color w:val="000000"/>
                <w:sz w:val="20"/>
                <w:szCs w:val="20"/>
                <w:lang w:eastAsia="es-GT"/>
              </w:rPr>
            </w:pPr>
            <w:r w:rsidRPr="001B3C6F">
              <w:rPr>
                <w:rFonts w:ascii="Calibri" w:hAnsi="Calibri" w:eastAsia="Times New Roman" w:cs="Calibri"/>
                <w:b/>
                <w:bCs/>
                <w:i/>
                <w:iCs/>
                <w:color w:val="000000"/>
                <w:sz w:val="20"/>
                <w:szCs w:val="20"/>
                <w:lang w:eastAsia="es-GT"/>
              </w:rPr>
              <w:t xml:space="preserve">EVALUACIÓN FINAL </w:t>
            </w:r>
          </w:p>
        </w:tc>
      </w:tr>
      <w:tr w:rsidRPr="001B3C6F" w:rsidR="006E4F0C" w:rsidTr="001B3C6F" w14:paraId="72BA42C9" w14:textId="77777777">
        <w:trPr>
          <w:trHeight w:val="20"/>
          <w:tblHeader/>
        </w:trPr>
        <w:tc>
          <w:tcPr>
            <w:tcW w:w="1413" w:type="dxa"/>
            <w:vMerge/>
            <w:tcBorders>
              <w:top w:val="single" w:color="auto" w:sz="4" w:space="0"/>
              <w:left w:val="single" w:color="auto" w:sz="4" w:space="0"/>
              <w:bottom w:val="single" w:color="auto" w:sz="4" w:space="0"/>
              <w:right w:val="single" w:color="auto" w:sz="4" w:space="0"/>
            </w:tcBorders>
            <w:vAlign w:val="center"/>
            <w:hideMark/>
          </w:tcPr>
          <w:p w:rsidRPr="001B3C6F" w:rsidR="006E4F0C" w:rsidP="00A728F5" w:rsidRDefault="006E4F0C" w14:paraId="6B4A91F9" w14:textId="77777777">
            <w:pPr>
              <w:spacing w:after="0" w:line="240" w:lineRule="auto"/>
              <w:rPr>
                <w:rFonts w:ascii="Calibri" w:hAnsi="Calibri" w:eastAsia="Times New Roman" w:cs="Calibri"/>
                <w:b/>
                <w:bCs/>
                <w:color w:val="000000"/>
                <w:sz w:val="20"/>
                <w:szCs w:val="20"/>
                <w:lang w:eastAsia="es-GT"/>
              </w:rPr>
            </w:pPr>
          </w:p>
        </w:tc>
        <w:tc>
          <w:tcPr>
            <w:tcW w:w="2489" w:type="dxa"/>
            <w:vMerge/>
            <w:tcBorders>
              <w:top w:val="single" w:color="auto" w:sz="4" w:space="0"/>
              <w:left w:val="single" w:color="auto" w:sz="4" w:space="0"/>
              <w:bottom w:val="single" w:color="auto" w:sz="4" w:space="0"/>
              <w:right w:val="nil"/>
            </w:tcBorders>
            <w:vAlign w:val="center"/>
            <w:hideMark/>
          </w:tcPr>
          <w:p w:rsidRPr="001B3C6F" w:rsidR="006E4F0C" w:rsidP="00A728F5" w:rsidRDefault="006E4F0C" w14:paraId="26CEF651" w14:textId="77777777">
            <w:pPr>
              <w:spacing w:after="0" w:line="240" w:lineRule="auto"/>
              <w:rPr>
                <w:rFonts w:ascii="Calibri" w:hAnsi="Calibri" w:eastAsia="Times New Roman" w:cs="Calibri"/>
                <w:b/>
                <w:bCs/>
                <w:color w:val="000000"/>
                <w:sz w:val="20"/>
                <w:szCs w:val="20"/>
                <w:lang w:eastAsia="es-GT"/>
              </w:rPr>
            </w:pPr>
          </w:p>
        </w:tc>
        <w:tc>
          <w:tcPr>
            <w:tcW w:w="1063" w:type="dxa"/>
            <w:vMerge/>
            <w:tcBorders>
              <w:top w:val="single" w:color="auto" w:sz="4" w:space="0"/>
              <w:left w:val="single" w:color="auto" w:sz="4" w:space="0"/>
              <w:bottom w:val="single" w:color="000000" w:sz="4" w:space="0"/>
              <w:right w:val="single" w:color="auto" w:sz="4" w:space="0"/>
            </w:tcBorders>
            <w:vAlign w:val="center"/>
            <w:hideMark/>
          </w:tcPr>
          <w:p w:rsidRPr="001B3C6F" w:rsidR="006E4F0C" w:rsidP="00A728F5" w:rsidRDefault="006E4F0C" w14:paraId="6CCC5AD0" w14:textId="77777777">
            <w:pPr>
              <w:spacing w:after="0" w:line="240" w:lineRule="auto"/>
              <w:rPr>
                <w:rFonts w:ascii="Calibri" w:hAnsi="Calibri" w:eastAsia="Times New Roman" w:cs="Calibri"/>
                <w:b/>
                <w:bCs/>
                <w:color w:val="000000"/>
                <w:sz w:val="20"/>
                <w:szCs w:val="20"/>
                <w:lang w:eastAsia="es-GT"/>
              </w:rPr>
            </w:pPr>
          </w:p>
        </w:tc>
        <w:tc>
          <w:tcPr>
            <w:tcW w:w="1475" w:type="dxa"/>
            <w:gridSpan w:val="2"/>
            <w:tcBorders>
              <w:top w:val="single" w:color="auto" w:sz="4" w:space="0"/>
              <w:left w:val="nil"/>
              <w:bottom w:val="single" w:color="auto" w:sz="4" w:space="0"/>
              <w:right w:val="single" w:color="000000" w:sz="4" w:space="0"/>
            </w:tcBorders>
            <w:shd w:val="clear" w:color="000000" w:fill="BFBFBF"/>
            <w:noWrap/>
            <w:vAlign w:val="bottom"/>
            <w:hideMark/>
          </w:tcPr>
          <w:p w:rsidRPr="001B3C6F" w:rsidR="006E4F0C" w:rsidP="00A728F5" w:rsidRDefault="006E4F0C" w14:paraId="76C4D226" w14:textId="77777777">
            <w:pPr>
              <w:spacing w:after="0" w:line="240" w:lineRule="auto"/>
              <w:jc w:val="center"/>
              <w:rPr>
                <w:rFonts w:ascii="Calibri" w:hAnsi="Calibri" w:eastAsia="Times New Roman" w:cs="Calibri"/>
                <w:b/>
                <w:bCs/>
                <w:i/>
                <w:iCs/>
                <w:color w:val="000000"/>
                <w:sz w:val="20"/>
                <w:szCs w:val="20"/>
                <w:lang w:eastAsia="es-GT"/>
              </w:rPr>
            </w:pPr>
            <w:r w:rsidRPr="001B3C6F">
              <w:rPr>
                <w:rFonts w:ascii="Calibri" w:hAnsi="Calibri" w:eastAsia="Times New Roman" w:cs="Calibri"/>
                <w:b/>
                <w:bCs/>
                <w:i/>
                <w:iCs/>
                <w:color w:val="000000"/>
                <w:sz w:val="20"/>
                <w:szCs w:val="20"/>
                <w:lang w:eastAsia="es-GT"/>
              </w:rPr>
              <w:t>PRIMER CUATRIMESTRE</w:t>
            </w:r>
          </w:p>
        </w:tc>
        <w:tc>
          <w:tcPr>
            <w:tcW w:w="2529" w:type="dxa"/>
            <w:gridSpan w:val="4"/>
            <w:vMerge/>
            <w:tcBorders>
              <w:top w:val="single" w:color="auto" w:sz="4" w:space="0"/>
              <w:left w:val="single" w:color="auto" w:sz="4" w:space="0"/>
              <w:bottom w:val="single" w:color="auto" w:sz="4" w:space="0"/>
              <w:right w:val="single" w:color="auto" w:sz="4" w:space="0"/>
            </w:tcBorders>
            <w:vAlign w:val="center"/>
            <w:hideMark/>
          </w:tcPr>
          <w:p w:rsidRPr="001B3C6F" w:rsidR="006E4F0C" w:rsidP="00A728F5" w:rsidRDefault="006E4F0C" w14:paraId="77BEEDEB" w14:textId="77777777">
            <w:pPr>
              <w:spacing w:after="0" w:line="240" w:lineRule="auto"/>
              <w:rPr>
                <w:rFonts w:ascii="Calibri" w:hAnsi="Calibri" w:eastAsia="Times New Roman" w:cs="Calibri"/>
                <w:b/>
                <w:bCs/>
                <w:i/>
                <w:iCs/>
                <w:color w:val="000000"/>
                <w:sz w:val="20"/>
                <w:szCs w:val="20"/>
                <w:lang w:eastAsia="es-GT"/>
              </w:rPr>
            </w:pPr>
          </w:p>
        </w:tc>
      </w:tr>
      <w:tr w:rsidRPr="001B3C6F" w:rsidR="006E4F0C" w:rsidTr="001B3C6F" w14:paraId="2BB25E35" w14:textId="77777777">
        <w:trPr>
          <w:trHeight w:val="20"/>
          <w:tblHeader/>
        </w:trPr>
        <w:tc>
          <w:tcPr>
            <w:tcW w:w="1413" w:type="dxa"/>
            <w:vMerge/>
            <w:tcBorders>
              <w:top w:val="single" w:color="auto" w:sz="4" w:space="0"/>
              <w:left w:val="single" w:color="auto" w:sz="4" w:space="0"/>
              <w:bottom w:val="single" w:color="auto" w:sz="4" w:space="0"/>
              <w:right w:val="single" w:color="auto" w:sz="4" w:space="0"/>
            </w:tcBorders>
            <w:vAlign w:val="center"/>
            <w:hideMark/>
          </w:tcPr>
          <w:p w:rsidRPr="001B3C6F" w:rsidR="006E4F0C" w:rsidP="00A728F5" w:rsidRDefault="006E4F0C" w14:paraId="6EA100F1" w14:textId="77777777">
            <w:pPr>
              <w:spacing w:after="0" w:line="240" w:lineRule="auto"/>
              <w:rPr>
                <w:rFonts w:ascii="Calibri" w:hAnsi="Calibri" w:eastAsia="Times New Roman" w:cs="Calibri"/>
                <w:b/>
                <w:bCs/>
                <w:color w:val="000000"/>
                <w:sz w:val="20"/>
                <w:szCs w:val="20"/>
                <w:lang w:eastAsia="es-GT"/>
              </w:rPr>
            </w:pPr>
          </w:p>
        </w:tc>
        <w:tc>
          <w:tcPr>
            <w:tcW w:w="2489" w:type="dxa"/>
            <w:vMerge/>
            <w:tcBorders>
              <w:top w:val="single" w:color="auto" w:sz="4" w:space="0"/>
              <w:left w:val="single" w:color="auto" w:sz="4" w:space="0"/>
              <w:bottom w:val="single" w:color="auto" w:sz="4" w:space="0"/>
              <w:right w:val="nil"/>
            </w:tcBorders>
            <w:vAlign w:val="center"/>
            <w:hideMark/>
          </w:tcPr>
          <w:p w:rsidRPr="001B3C6F" w:rsidR="006E4F0C" w:rsidP="00A728F5" w:rsidRDefault="006E4F0C" w14:paraId="31AE1B5B" w14:textId="77777777">
            <w:pPr>
              <w:spacing w:after="0" w:line="240" w:lineRule="auto"/>
              <w:rPr>
                <w:rFonts w:ascii="Calibri" w:hAnsi="Calibri" w:eastAsia="Times New Roman" w:cs="Calibri"/>
                <w:b/>
                <w:bCs/>
                <w:color w:val="000000"/>
                <w:sz w:val="20"/>
                <w:szCs w:val="20"/>
                <w:lang w:eastAsia="es-GT"/>
              </w:rPr>
            </w:pPr>
          </w:p>
        </w:tc>
        <w:tc>
          <w:tcPr>
            <w:tcW w:w="1063" w:type="dxa"/>
            <w:vMerge/>
            <w:tcBorders>
              <w:top w:val="single" w:color="auto" w:sz="4" w:space="0"/>
              <w:left w:val="single" w:color="auto" w:sz="4" w:space="0"/>
              <w:bottom w:val="single" w:color="000000" w:sz="4" w:space="0"/>
              <w:right w:val="single" w:color="auto" w:sz="4" w:space="0"/>
            </w:tcBorders>
            <w:vAlign w:val="center"/>
            <w:hideMark/>
          </w:tcPr>
          <w:p w:rsidRPr="001B3C6F" w:rsidR="006E4F0C" w:rsidP="00A728F5" w:rsidRDefault="006E4F0C" w14:paraId="7F5C4AFF" w14:textId="77777777">
            <w:pPr>
              <w:spacing w:after="0" w:line="240" w:lineRule="auto"/>
              <w:rPr>
                <w:rFonts w:ascii="Calibri" w:hAnsi="Calibri" w:eastAsia="Times New Roman" w:cs="Calibri"/>
                <w:b/>
                <w:bCs/>
                <w:color w:val="000000"/>
                <w:sz w:val="20"/>
                <w:szCs w:val="20"/>
                <w:lang w:eastAsia="es-GT"/>
              </w:rPr>
            </w:pPr>
          </w:p>
        </w:tc>
        <w:tc>
          <w:tcPr>
            <w:tcW w:w="787" w:type="dxa"/>
            <w:tcBorders>
              <w:top w:val="nil"/>
              <w:left w:val="nil"/>
              <w:bottom w:val="single" w:color="auto" w:sz="4" w:space="0"/>
              <w:right w:val="single" w:color="auto" w:sz="4" w:space="0"/>
            </w:tcBorders>
            <w:shd w:val="clear" w:color="000000" w:fill="BFBFBF"/>
            <w:noWrap/>
            <w:vAlign w:val="bottom"/>
            <w:hideMark/>
          </w:tcPr>
          <w:p w:rsidRPr="001B3C6F" w:rsidR="006E4F0C" w:rsidP="00A728F5" w:rsidRDefault="006E4F0C" w14:paraId="12B609C8" w14:textId="77777777">
            <w:pPr>
              <w:spacing w:after="0" w:line="240" w:lineRule="auto"/>
              <w:jc w:val="center"/>
              <w:rPr>
                <w:rFonts w:ascii="Calibri" w:hAnsi="Calibri" w:eastAsia="Times New Roman" w:cs="Calibri"/>
                <w:b/>
                <w:bCs/>
                <w:i/>
                <w:iCs/>
                <w:color w:val="000000"/>
                <w:sz w:val="20"/>
                <w:szCs w:val="20"/>
                <w:lang w:eastAsia="es-GT"/>
              </w:rPr>
            </w:pPr>
            <w:proofErr w:type="spellStart"/>
            <w:r w:rsidRPr="001B3C6F">
              <w:rPr>
                <w:rFonts w:ascii="Calibri" w:hAnsi="Calibri" w:eastAsia="Times New Roman" w:cs="Calibri"/>
                <w:b/>
                <w:bCs/>
                <w:i/>
                <w:iCs/>
                <w:color w:val="000000"/>
                <w:sz w:val="20"/>
                <w:szCs w:val="20"/>
                <w:lang w:eastAsia="es-GT"/>
              </w:rPr>
              <w:t>Prog</w:t>
            </w:r>
            <w:proofErr w:type="spellEnd"/>
            <w:r w:rsidRPr="001B3C6F">
              <w:rPr>
                <w:rFonts w:ascii="Calibri" w:hAnsi="Calibri" w:eastAsia="Times New Roman" w:cs="Calibri"/>
                <w:b/>
                <w:bCs/>
                <w:i/>
                <w:iCs/>
                <w:color w:val="000000"/>
                <w:sz w:val="20"/>
                <w:szCs w:val="20"/>
                <w:lang w:eastAsia="es-GT"/>
              </w:rPr>
              <w:t xml:space="preserve">. </w:t>
            </w:r>
          </w:p>
        </w:tc>
        <w:tc>
          <w:tcPr>
            <w:tcW w:w="688" w:type="dxa"/>
            <w:tcBorders>
              <w:top w:val="nil"/>
              <w:left w:val="nil"/>
              <w:bottom w:val="single" w:color="auto" w:sz="4" w:space="0"/>
              <w:right w:val="single" w:color="auto" w:sz="4" w:space="0"/>
            </w:tcBorders>
            <w:shd w:val="clear" w:color="000000" w:fill="BFBFBF"/>
            <w:noWrap/>
            <w:vAlign w:val="bottom"/>
            <w:hideMark/>
          </w:tcPr>
          <w:p w:rsidRPr="001B3C6F" w:rsidR="006E4F0C" w:rsidP="00A728F5" w:rsidRDefault="006E4F0C" w14:paraId="6CA1FBEB" w14:textId="77777777">
            <w:pPr>
              <w:spacing w:after="0" w:line="240" w:lineRule="auto"/>
              <w:jc w:val="center"/>
              <w:rPr>
                <w:rFonts w:ascii="Calibri" w:hAnsi="Calibri" w:eastAsia="Times New Roman" w:cs="Calibri"/>
                <w:b/>
                <w:bCs/>
                <w:i/>
                <w:iCs/>
                <w:color w:val="000000"/>
                <w:sz w:val="20"/>
                <w:szCs w:val="20"/>
                <w:lang w:eastAsia="es-GT"/>
              </w:rPr>
            </w:pPr>
            <w:proofErr w:type="spellStart"/>
            <w:r w:rsidRPr="001B3C6F">
              <w:rPr>
                <w:rFonts w:ascii="Calibri" w:hAnsi="Calibri" w:eastAsia="Times New Roman" w:cs="Calibri"/>
                <w:b/>
                <w:bCs/>
                <w:i/>
                <w:iCs/>
                <w:color w:val="000000"/>
                <w:sz w:val="20"/>
                <w:szCs w:val="20"/>
                <w:lang w:eastAsia="es-GT"/>
              </w:rPr>
              <w:t>Ejec</w:t>
            </w:r>
            <w:proofErr w:type="spellEnd"/>
            <w:r w:rsidRPr="001B3C6F">
              <w:rPr>
                <w:rFonts w:ascii="Calibri" w:hAnsi="Calibri" w:eastAsia="Times New Roman" w:cs="Calibri"/>
                <w:b/>
                <w:bCs/>
                <w:i/>
                <w:iCs/>
                <w:color w:val="000000"/>
                <w:sz w:val="20"/>
                <w:szCs w:val="20"/>
                <w:lang w:eastAsia="es-GT"/>
              </w:rPr>
              <w:t>.</w:t>
            </w:r>
          </w:p>
        </w:tc>
        <w:tc>
          <w:tcPr>
            <w:tcW w:w="1302" w:type="dxa"/>
            <w:gridSpan w:val="2"/>
            <w:tcBorders>
              <w:top w:val="single" w:color="auto" w:sz="4" w:space="0"/>
              <w:left w:val="nil"/>
              <w:bottom w:val="single" w:color="auto" w:sz="4" w:space="0"/>
              <w:right w:val="single" w:color="auto" w:sz="4" w:space="0"/>
            </w:tcBorders>
            <w:shd w:val="clear" w:color="000000" w:fill="BFBFBF"/>
            <w:noWrap/>
            <w:vAlign w:val="bottom"/>
            <w:hideMark/>
          </w:tcPr>
          <w:p w:rsidRPr="001B3C6F" w:rsidR="006E4F0C" w:rsidP="00A728F5" w:rsidRDefault="006E4F0C" w14:paraId="1D4A6467" w14:textId="77777777">
            <w:pPr>
              <w:spacing w:after="0" w:line="240" w:lineRule="auto"/>
              <w:jc w:val="center"/>
              <w:rPr>
                <w:rFonts w:ascii="Calibri" w:hAnsi="Calibri" w:eastAsia="Times New Roman" w:cs="Calibri"/>
                <w:b/>
                <w:bCs/>
                <w:i/>
                <w:iCs/>
                <w:color w:val="000000"/>
                <w:sz w:val="20"/>
                <w:szCs w:val="20"/>
                <w:lang w:eastAsia="es-GT"/>
              </w:rPr>
            </w:pPr>
            <w:r w:rsidRPr="001B3C6F">
              <w:rPr>
                <w:rFonts w:ascii="Calibri" w:hAnsi="Calibri" w:eastAsia="Times New Roman" w:cs="Calibri"/>
                <w:b/>
                <w:bCs/>
                <w:i/>
                <w:iCs/>
                <w:color w:val="000000"/>
                <w:sz w:val="20"/>
                <w:szCs w:val="20"/>
                <w:lang w:eastAsia="es-GT"/>
              </w:rPr>
              <w:t>Programado Anual</w:t>
            </w:r>
          </w:p>
        </w:tc>
        <w:tc>
          <w:tcPr>
            <w:tcW w:w="1227" w:type="dxa"/>
            <w:gridSpan w:val="2"/>
            <w:tcBorders>
              <w:top w:val="single" w:color="auto" w:sz="4" w:space="0"/>
              <w:left w:val="nil"/>
              <w:bottom w:val="single" w:color="auto" w:sz="4" w:space="0"/>
              <w:right w:val="single" w:color="auto" w:sz="4" w:space="0"/>
            </w:tcBorders>
            <w:shd w:val="clear" w:color="000000" w:fill="BFBFBF"/>
            <w:noWrap/>
            <w:vAlign w:val="bottom"/>
            <w:hideMark/>
          </w:tcPr>
          <w:p w:rsidRPr="001B3C6F" w:rsidR="006E4F0C" w:rsidP="00A728F5" w:rsidRDefault="006E4F0C" w14:paraId="49FA8AF9" w14:textId="77777777">
            <w:pPr>
              <w:spacing w:after="0" w:line="240" w:lineRule="auto"/>
              <w:jc w:val="center"/>
              <w:rPr>
                <w:rFonts w:ascii="Calibri" w:hAnsi="Calibri" w:eastAsia="Times New Roman" w:cs="Calibri"/>
                <w:b/>
                <w:bCs/>
                <w:i/>
                <w:iCs/>
                <w:color w:val="000000"/>
                <w:sz w:val="20"/>
                <w:szCs w:val="20"/>
                <w:lang w:eastAsia="es-GT"/>
              </w:rPr>
            </w:pPr>
            <w:r w:rsidRPr="001B3C6F">
              <w:rPr>
                <w:rFonts w:ascii="Calibri" w:hAnsi="Calibri" w:eastAsia="Times New Roman" w:cs="Calibri"/>
                <w:b/>
                <w:bCs/>
                <w:i/>
                <w:iCs/>
                <w:color w:val="000000"/>
                <w:sz w:val="20"/>
                <w:szCs w:val="20"/>
                <w:lang w:eastAsia="es-GT"/>
              </w:rPr>
              <w:t>Avance Ejecutado</w:t>
            </w:r>
          </w:p>
        </w:tc>
      </w:tr>
      <w:tr w:rsidRPr="001B3C6F" w:rsidR="006E4F0C" w:rsidTr="001B3C6F" w14:paraId="492D1458" w14:textId="77777777">
        <w:trPr>
          <w:trHeight w:val="20"/>
        </w:trPr>
        <w:tc>
          <w:tcPr>
            <w:tcW w:w="1413" w:type="dxa"/>
            <w:tcBorders>
              <w:top w:val="nil"/>
              <w:left w:val="single" w:color="auto" w:sz="4" w:space="0"/>
              <w:bottom w:val="single" w:color="auto" w:sz="4" w:space="0"/>
              <w:right w:val="single" w:color="auto" w:sz="4" w:space="0"/>
            </w:tcBorders>
            <w:shd w:val="clear" w:color="auto" w:fill="auto"/>
            <w:vAlign w:val="center"/>
            <w:hideMark/>
          </w:tcPr>
          <w:p w:rsidRPr="001B3C6F" w:rsidR="006E4F0C" w:rsidP="00A728F5" w:rsidRDefault="006E4F0C" w14:paraId="74D4D25F"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Dirección y Coordinación </w:t>
            </w:r>
          </w:p>
        </w:tc>
        <w:tc>
          <w:tcPr>
            <w:tcW w:w="2489" w:type="dxa"/>
            <w:tcBorders>
              <w:top w:val="nil"/>
              <w:left w:val="nil"/>
              <w:bottom w:val="single" w:color="auto" w:sz="4" w:space="0"/>
              <w:right w:val="nil"/>
            </w:tcBorders>
            <w:shd w:val="clear" w:color="auto" w:fill="auto"/>
            <w:vAlign w:val="center"/>
            <w:hideMark/>
          </w:tcPr>
          <w:p w:rsidRPr="001B3C6F" w:rsidR="006E4F0C" w:rsidP="00A728F5" w:rsidRDefault="006E4F0C" w14:paraId="23976C6B"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Informes de fortalecimiento y apoyo a la gestión de las actividades, acciones, planes y proyectos de la AMSCLAE para el cumplimiento de los objetivos institucionales. </w:t>
            </w:r>
          </w:p>
        </w:tc>
        <w:tc>
          <w:tcPr>
            <w:tcW w:w="1063" w:type="dxa"/>
            <w:tcBorders>
              <w:top w:val="nil"/>
              <w:left w:val="single" w:color="auto" w:sz="4" w:space="0"/>
              <w:bottom w:val="single" w:color="auto" w:sz="4" w:space="0"/>
              <w:right w:val="nil"/>
            </w:tcBorders>
            <w:shd w:val="clear" w:color="auto" w:fill="auto"/>
            <w:vAlign w:val="center"/>
            <w:hideMark/>
          </w:tcPr>
          <w:p w:rsidRPr="001B3C6F" w:rsidR="006E4F0C" w:rsidP="00A728F5" w:rsidRDefault="006E4F0C" w14:paraId="0326F98D"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Documento</w:t>
            </w:r>
          </w:p>
        </w:tc>
        <w:tc>
          <w:tcPr>
            <w:tcW w:w="787" w:type="dxa"/>
            <w:tcBorders>
              <w:top w:val="nil"/>
              <w:left w:val="single" w:color="auto" w:sz="4" w:space="0"/>
              <w:bottom w:val="single" w:color="auto" w:sz="4" w:space="0"/>
              <w:right w:val="single" w:color="auto" w:sz="4" w:space="0"/>
            </w:tcBorders>
            <w:shd w:val="clear" w:color="auto" w:fill="auto"/>
            <w:noWrap/>
            <w:vAlign w:val="center"/>
            <w:hideMark/>
          </w:tcPr>
          <w:p w:rsidRPr="001B3C6F" w:rsidR="006E4F0C" w:rsidP="00A728F5" w:rsidRDefault="006E4F0C" w14:paraId="09403DF0"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26</w:t>
            </w:r>
          </w:p>
        </w:tc>
        <w:tc>
          <w:tcPr>
            <w:tcW w:w="688"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094DE03"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25</w:t>
            </w:r>
          </w:p>
        </w:tc>
        <w:tc>
          <w:tcPr>
            <w:tcW w:w="53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6A15B793"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97</w:t>
            </w:r>
          </w:p>
        </w:tc>
        <w:tc>
          <w:tcPr>
            <w:tcW w:w="76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5E307093"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100%</w:t>
            </w:r>
          </w:p>
        </w:tc>
        <w:tc>
          <w:tcPr>
            <w:tcW w:w="374"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35BA494"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25</w:t>
            </w:r>
          </w:p>
        </w:tc>
        <w:tc>
          <w:tcPr>
            <w:tcW w:w="853"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6DC567D4"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25.8%</w:t>
            </w:r>
          </w:p>
        </w:tc>
      </w:tr>
      <w:tr w:rsidRPr="001B3C6F" w:rsidR="006E4F0C" w:rsidTr="001B3C6F" w14:paraId="16847027" w14:textId="77777777">
        <w:trPr>
          <w:trHeight w:val="20"/>
        </w:trPr>
        <w:tc>
          <w:tcPr>
            <w:tcW w:w="1413" w:type="dxa"/>
            <w:tcBorders>
              <w:top w:val="nil"/>
              <w:left w:val="single" w:color="auto" w:sz="4" w:space="0"/>
              <w:bottom w:val="single" w:color="auto" w:sz="4" w:space="0"/>
              <w:right w:val="single" w:color="auto" w:sz="4" w:space="0"/>
            </w:tcBorders>
            <w:shd w:val="clear" w:color="auto" w:fill="auto"/>
            <w:vAlign w:val="center"/>
            <w:hideMark/>
          </w:tcPr>
          <w:p w:rsidRPr="001B3C6F" w:rsidR="006E4F0C" w:rsidP="00A728F5" w:rsidRDefault="006E4F0C" w14:paraId="61725633"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Educación Ambiental. </w:t>
            </w:r>
          </w:p>
        </w:tc>
        <w:tc>
          <w:tcPr>
            <w:tcW w:w="2489"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7A61C162"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Capacitación y concientización a la población de la cuenca del Lago de Atitlán sobre buenas prácticas ambientales para el control de la contaminación (Departamento de Educación Ambiental). </w:t>
            </w:r>
          </w:p>
        </w:tc>
        <w:tc>
          <w:tcPr>
            <w:tcW w:w="1063"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1344CB29"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Evento</w:t>
            </w:r>
          </w:p>
        </w:tc>
        <w:tc>
          <w:tcPr>
            <w:tcW w:w="787"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51328F6D"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56</w:t>
            </w:r>
          </w:p>
        </w:tc>
        <w:tc>
          <w:tcPr>
            <w:tcW w:w="688"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1BB536E5"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56</w:t>
            </w:r>
          </w:p>
        </w:tc>
        <w:tc>
          <w:tcPr>
            <w:tcW w:w="53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1207B10E"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256</w:t>
            </w:r>
          </w:p>
        </w:tc>
        <w:tc>
          <w:tcPr>
            <w:tcW w:w="76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4C2032F6"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100%</w:t>
            </w:r>
          </w:p>
        </w:tc>
        <w:tc>
          <w:tcPr>
            <w:tcW w:w="374"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A4FEF25"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56</w:t>
            </w:r>
          </w:p>
        </w:tc>
        <w:tc>
          <w:tcPr>
            <w:tcW w:w="853"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379627DF"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21.9%</w:t>
            </w:r>
          </w:p>
        </w:tc>
      </w:tr>
      <w:tr w:rsidRPr="001B3C6F" w:rsidR="006E4F0C" w:rsidTr="001B3C6F" w14:paraId="766E2A32" w14:textId="77777777">
        <w:trPr>
          <w:trHeight w:val="20"/>
        </w:trPr>
        <w:tc>
          <w:tcPr>
            <w:tcW w:w="1413" w:type="dxa"/>
            <w:tcBorders>
              <w:top w:val="nil"/>
              <w:left w:val="single" w:color="auto" w:sz="4" w:space="0"/>
              <w:bottom w:val="single" w:color="auto" w:sz="4" w:space="0"/>
              <w:right w:val="single" w:color="auto" w:sz="4" w:space="0"/>
            </w:tcBorders>
            <w:shd w:val="clear" w:color="auto" w:fill="auto"/>
            <w:vAlign w:val="center"/>
            <w:hideMark/>
          </w:tcPr>
          <w:p w:rsidRPr="001B3C6F" w:rsidR="006E4F0C" w:rsidP="00A728F5" w:rsidRDefault="006E4F0C" w14:paraId="71CF4F59"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Fomento Económico y Desarrollo Sustentable</w:t>
            </w:r>
          </w:p>
        </w:tc>
        <w:tc>
          <w:tcPr>
            <w:tcW w:w="2489"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3923F89A"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Fomento de Proyectos de desarrollo económico sostenibles en el sector público y privado de la Cuenca del Lago de Atitlán </w:t>
            </w:r>
          </w:p>
        </w:tc>
        <w:tc>
          <w:tcPr>
            <w:tcW w:w="1063"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3404FBBF"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Evento</w:t>
            </w:r>
          </w:p>
        </w:tc>
        <w:tc>
          <w:tcPr>
            <w:tcW w:w="787"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3E3A9305"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32</w:t>
            </w:r>
          </w:p>
        </w:tc>
        <w:tc>
          <w:tcPr>
            <w:tcW w:w="688"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68270F57"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32</w:t>
            </w:r>
          </w:p>
        </w:tc>
        <w:tc>
          <w:tcPr>
            <w:tcW w:w="53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3D84655B"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114</w:t>
            </w:r>
          </w:p>
        </w:tc>
        <w:tc>
          <w:tcPr>
            <w:tcW w:w="76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1B312B5A"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100%</w:t>
            </w:r>
          </w:p>
        </w:tc>
        <w:tc>
          <w:tcPr>
            <w:tcW w:w="374"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4858E6A0"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32</w:t>
            </w:r>
          </w:p>
        </w:tc>
        <w:tc>
          <w:tcPr>
            <w:tcW w:w="853"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1594542E"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28.1%</w:t>
            </w:r>
          </w:p>
        </w:tc>
      </w:tr>
      <w:tr w:rsidRPr="001B3C6F" w:rsidR="006E4F0C" w:rsidTr="001B3C6F" w14:paraId="41408887" w14:textId="77777777">
        <w:trPr>
          <w:trHeight w:val="20"/>
        </w:trPr>
        <w:tc>
          <w:tcPr>
            <w:tcW w:w="1413" w:type="dxa"/>
            <w:tcBorders>
              <w:top w:val="nil"/>
              <w:left w:val="single" w:color="auto" w:sz="4" w:space="0"/>
              <w:bottom w:val="single" w:color="auto" w:sz="4" w:space="0"/>
              <w:right w:val="single" w:color="auto" w:sz="4" w:space="0"/>
            </w:tcBorders>
            <w:shd w:val="clear" w:color="auto" w:fill="auto"/>
            <w:vAlign w:val="center"/>
            <w:hideMark/>
          </w:tcPr>
          <w:p w:rsidRPr="001B3C6F" w:rsidR="006E4F0C" w:rsidP="00A728F5" w:rsidRDefault="006E4F0C" w14:paraId="7B55B6EC"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Agrícola y Forestal </w:t>
            </w:r>
          </w:p>
        </w:tc>
        <w:tc>
          <w:tcPr>
            <w:tcW w:w="2489"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22577831"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Conservación de suelo, incremento y conservación de la cobertura forestal y promoción de prácticas agrícolas sostenibles en la Cuenca del Lago de Atitlán </w:t>
            </w:r>
          </w:p>
        </w:tc>
        <w:tc>
          <w:tcPr>
            <w:tcW w:w="1063"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10AABE67"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Evento</w:t>
            </w:r>
          </w:p>
        </w:tc>
        <w:tc>
          <w:tcPr>
            <w:tcW w:w="787"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1573DA7"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0</w:t>
            </w:r>
          </w:p>
        </w:tc>
        <w:tc>
          <w:tcPr>
            <w:tcW w:w="688"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AE4E70B"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0</w:t>
            </w:r>
          </w:p>
        </w:tc>
        <w:tc>
          <w:tcPr>
            <w:tcW w:w="53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A804D65"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187</w:t>
            </w:r>
          </w:p>
        </w:tc>
        <w:tc>
          <w:tcPr>
            <w:tcW w:w="76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7725C3BD"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100%</w:t>
            </w:r>
          </w:p>
        </w:tc>
        <w:tc>
          <w:tcPr>
            <w:tcW w:w="374"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7ED31A03"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0</w:t>
            </w:r>
          </w:p>
        </w:tc>
        <w:tc>
          <w:tcPr>
            <w:tcW w:w="853"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399E05A"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0.0%</w:t>
            </w:r>
          </w:p>
        </w:tc>
      </w:tr>
      <w:tr w:rsidRPr="001B3C6F" w:rsidR="006E4F0C" w:rsidTr="001B3C6F" w14:paraId="2EFE6D6C" w14:textId="77777777">
        <w:trPr>
          <w:trHeight w:val="20"/>
        </w:trPr>
        <w:tc>
          <w:tcPr>
            <w:tcW w:w="1413" w:type="dxa"/>
            <w:tcBorders>
              <w:top w:val="nil"/>
              <w:left w:val="single" w:color="auto" w:sz="4" w:space="0"/>
              <w:bottom w:val="single" w:color="auto" w:sz="4" w:space="0"/>
              <w:right w:val="single" w:color="auto" w:sz="4" w:space="0"/>
            </w:tcBorders>
            <w:shd w:val="clear" w:color="auto" w:fill="auto"/>
            <w:vAlign w:val="center"/>
            <w:hideMark/>
          </w:tcPr>
          <w:p w:rsidRPr="001B3C6F" w:rsidR="006E4F0C" w:rsidP="00A728F5" w:rsidRDefault="006E4F0C" w14:paraId="63C286D8"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Saneamiento Ambiental </w:t>
            </w:r>
          </w:p>
        </w:tc>
        <w:tc>
          <w:tcPr>
            <w:tcW w:w="2489"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38BC0A93"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Fortalecimiento a entidades públicas y privadas en la gestión y manejo de desechos y contaminantes en la cuenca del Lago de Atitlán </w:t>
            </w:r>
          </w:p>
        </w:tc>
        <w:tc>
          <w:tcPr>
            <w:tcW w:w="1063"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20EE77C8"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Evento</w:t>
            </w:r>
          </w:p>
        </w:tc>
        <w:tc>
          <w:tcPr>
            <w:tcW w:w="787"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7775E6FB"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43</w:t>
            </w:r>
          </w:p>
        </w:tc>
        <w:tc>
          <w:tcPr>
            <w:tcW w:w="688"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12B1549"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41</w:t>
            </w:r>
          </w:p>
        </w:tc>
        <w:tc>
          <w:tcPr>
            <w:tcW w:w="53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6CDC4CC9"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130</w:t>
            </w:r>
          </w:p>
        </w:tc>
        <w:tc>
          <w:tcPr>
            <w:tcW w:w="76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5A7AAEDC"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100%</w:t>
            </w:r>
          </w:p>
        </w:tc>
        <w:tc>
          <w:tcPr>
            <w:tcW w:w="374"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2F930C42"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41</w:t>
            </w:r>
          </w:p>
        </w:tc>
        <w:tc>
          <w:tcPr>
            <w:tcW w:w="853"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374A0DC1"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31.5%</w:t>
            </w:r>
          </w:p>
        </w:tc>
      </w:tr>
      <w:tr w:rsidRPr="001B3C6F" w:rsidR="006E4F0C" w:rsidTr="001B3C6F" w14:paraId="66CDB44A" w14:textId="77777777">
        <w:trPr>
          <w:trHeight w:val="20"/>
        </w:trPr>
        <w:tc>
          <w:tcPr>
            <w:tcW w:w="1413" w:type="dxa"/>
            <w:tcBorders>
              <w:top w:val="nil"/>
              <w:left w:val="single" w:color="auto" w:sz="4" w:space="0"/>
              <w:bottom w:val="single" w:color="auto" w:sz="4" w:space="0"/>
              <w:right w:val="single" w:color="auto" w:sz="4" w:space="0"/>
            </w:tcBorders>
            <w:shd w:val="clear" w:color="auto" w:fill="auto"/>
            <w:vAlign w:val="center"/>
            <w:hideMark/>
          </w:tcPr>
          <w:p w:rsidRPr="001B3C6F" w:rsidR="006E4F0C" w:rsidP="00A728F5" w:rsidRDefault="006E4F0C" w14:paraId="71B88692"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Investigación y Calidad Ambiental</w:t>
            </w:r>
          </w:p>
        </w:tc>
        <w:tc>
          <w:tcPr>
            <w:tcW w:w="2489"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4F0F9409" w14:textId="77777777">
            <w:pPr>
              <w:spacing w:after="0" w:line="240" w:lineRule="auto"/>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 xml:space="preserve">Informes actualizados sobre la calidad de los recursos naturales (suelo, agua y bosque), clima, desechos y contaminantes de la cuenca </w:t>
            </w:r>
            <w:r w:rsidRPr="001B3C6F">
              <w:rPr>
                <w:rFonts w:ascii="Calibri" w:hAnsi="Calibri" w:eastAsia="Times New Roman" w:cs="Calibri"/>
                <w:color w:val="000000"/>
                <w:sz w:val="20"/>
                <w:szCs w:val="20"/>
                <w:lang w:eastAsia="es-GT"/>
              </w:rPr>
              <w:lastRenderedPageBreak/>
              <w:t xml:space="preserve">del Lago de Atitlán, para informar a la población en general y toma de decisiones </w:t>
            </w:r>
          </w:p>
        </w:tc>
        <w:tc>
          <w:tcPr>
            <w:tcW w:w="1063" w:type="dxa"/>
            <w:tcBorders>
              <w:top w:val="nil"/>
              <w:left w:val="nil"/>
              <w:bottom w:val="single" w:color="auto" w:sz="4" w:space="0"/>
              <w:right w:val="single" w:color="auto" w:sz="4" w:space="0"/>
            </w:tcBorders>
            <w:shd w:val="clear" w:color="auto" w:fill="auto"/>
            <w:vAlign w:val="center"/>
            <w:hideMark/>
          </w:tcPr>
          <w:p w:rsidRPr="001B3C6F" w:rsidR="006E4F0C" w:rsidP="00A728F5" w:rsidRDefault="006E4F0C" w14:paraId="23AF06FF"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lastRenderedPageBreak/>
              <w:t>Documento</w:t>
            </w:r>
          </w:p>
        </w:tc>
        <w:tc>
          <w:tcPr>
            <w:tcW w:w="787"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0CAC236E"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0</w:t>
            </w:r>
          </w:p>
        </w:tc>
        <w:tc>
          <w:tcPr>
            <w:tcW w:w="688"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42D7EEAE"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0</w:t>
            </w:r>
          </w:p>
        </w:tc>
        <w:tc>
          <w:tcPr>
            <w:tcW w:w="53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70EC5A21"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13</w:t>
            </w:r>
          </w:p>
        </w:tc>
        <w:tc>
          <w:tcPr>
            <w:tcW w:w="766"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364AAAC9"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100%</w:t>
            </w:r>
          </w:p>
        </w:tc>
        <w:tc>
          <w:tcPr>
            <w:tcW w:w="374"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6986B22A" w14:textId="77777777">
            <w:pPr>
              <w:spacing w:after="0" w:line="240" w:lineRule="auto"/>
              <w:jc w:val="center"/>
              <w:rPr>
                <w:rFonts w:ascii="Calibri" w:hAnsi="Calibri" w:eastAsia="Times New Roman" w:cs="Calibri"/>
                <w:color w:val="000000"/>
                <w:sz w:val="20"/>
                <w:szCs w:val="20"/>
                <w:lang w:eastAsia="es-GT"/>
              </w:rPr>
            </w:pPr>
            <w:r w:rsidRPr="001B3C6F">
              <w:rPr>
                <w:rFonts w:ascii="Calibri" w:hAnsi="Calibri" w:eastAsia="Times New Roman" w:cs="Calibri"/>
                <w:color w:val="000000"/>
                <w:sz w:val="20"/>
                <w:szCs w:val="20"/>
                <w:lang w:eastAsia="es-GT"/>
              </w:rPr>
              <w:t>0</w:t>
            </w:r>
          </w:p>
        </w:tc>
        <w:tc>
          <w:tcPr>
            <w:tcW w:w="853" w:type="dxa"/>
            <w:tcBorders>
              <w:top w:val="nil"/>
              <w:left w:val="nil"/>
              <w:bottom w:val="single" w:color="auto" w:sz="4" w:space="0"/>
              <w:right w:val="single" w:color="auto" w:sz="4" w:space="0"/>
            </w:tcBorders>
            <w:shd w:val="clear" w:color="auto" w:fill="auto"/>
            <w:noWrap/>
            <w:vAlign w:val="center"/>
            <w:hideMark/>
          </w:tcPr>
          <w:p w:rsidRPr="001B3C6F" w:rsidR="006E4F0C" w:rsidP="00A728F5" w:rsidRDefault="006E4F0C" w14:paraId="6F6DEA98" w14:textId="77777777">
            <w:pPr>
              <w:spacing w:after="0" w:line="240" w:lineRule="auto"/>
              <w:jc w:val="center"/>
              <w:rPr>
                <w:rFonts w:ascii="Calibri" w:hAnsi="Calibri" w:eastAsia="Times New Roman" w:cs="Calibri"/>
                <w:b/>
                <w:bCs/>
                <w:color w:val="000000"/>
                <w:sz w:val="20"/>
                <w:szCs w:val="20"/>
                <w:lang w:eastAsia="es-GT"/>
              </w:rPr>
            </w:pPr>
            <w:r w:rsidRPr="001B3C6F">
              <w:rPr>
                <w:rFonts w:ascii="Calibri" w:hAnsi="Calibri" w:eastAsia="Times New Roman" w:cs="Calibri"/>
                <w:b/>
                <w:bCs/>
                <w:color w:val="000000"/>
                <w:sz w:val="20"/>
                <w:szCs w:val="20"/>
                <w:lang w:eastAsia="es-GT"/>
              </w:rPr>
              <w:t>0.0%</w:t>
            </w:r>
          </w:p>
        </w:tc>
      </w:tr>
    </w:tbl>
    <w:p w:rsidR="006E4F0C" w:rsidP="006E4F0C" w:rsidRDefault="006E4F0C" w14:paraId="7C8A6A73" w14:textId="77777777">
      <w:pPr>
        <w:spacing w:after="0" w:line="240" w:lineRule="auto"/>
        <w:jc w:val="both"/>
        <w:rPr>
          <w:rFonts w:ascii="Verdana" w:hAnsi="Verdana"/>
          <w:bCs/>
          <w:iCs/>
          <w:sz w:val="20"/>
          <w:szCs w:val="20"/>
        </w:rPr>
      </w:pPr>
    </w:p>
    <w:p w:rsidR="006E4F0C" w:rsidP="006E4F0C" w:rsidRDefault="006E4F0C" w14:paraId="6522A95F" w14:textId="77777777">
      <w:pPr>
        <w:spacing w:after="0" w:line="240" w:lineRule="auto"/>
        <w:ind w:left="-709" w:right="-660"/>
        <w:jc w:val="both"/>
        <w:rPr>
          <w:rFonts w:ascii="Verdana" w:hAnsi="Verdana"/>
          <w:bCs/>
          <w:iCs/>
          <w:sz w:val="20"/>
          <w:szCs w:val="20"/>
        </w:rPr>
      </w:pPr>
      <w:r w:rsidRPr="00D929A7">
        <w:rPr>
          <w:rFonts w:ascii="Verdana" w:hAnsi="Verdana"/>
          <w:bCs/>
          <w:iCs/>
          <w:sz w:val="20"/>
          <w:szCs w:val="20"/>
        </w:rPr>
        <w:t xml:space="preserve">A nivel institucional, se puede observar que el Programa 58, “Manejo Integrado de la Cuenca del Lago de Atitlán”, vinculada a los Productos </w:t>
      </w:r>
      <w:r w:rsidRPr="00D929A7">
        <w:rPr>
          <w:rFonts w:ascii="Verdana" w:hAnsi="Verdana"/>
          <w:b/>
          <w:iCs/>
          <w:sz w:val="20"/>
          <w:szCs w:val="20"/>
        </w:rPr>
        <w:t>001-001</w:t>
      </w:r>
      <w:r w:rsidRPr="00D929A7">
        <w:rPr>
          <w:rFonts w:ascii="Verdana" w:hAnsi="Verdana"/>
          <w:bCs/>
          <w:iCs/>
          <w:sz w:val="20"/>
          <w:szCs w:val="20"/>
        </w:rPr>
        <w:t xml:space="preserve"> y </w:t>
      </w:r>
      <w:r w:rsidRPr="00D929A7">
        <w:rPr>
          <w:rFonts w:ascii="Verdana" w:hAnsi="Verdana"/>
          <w:b/>
          <w:iCs/>
          <w:sz w:val="20"/>
          <w:szCs w:val="20"/>
        </w:rPr>
        <w:t xml:space="preserve">001-002, </w:t>
      </w:r>
      <w:r w:rsidRPr="00D929A7">
        <w:rPr>
          <w:rFonts w:ascii="Verdana" w:hAnsi="Verdana"/>
          <w:bCs/>
          <w:iCs/>
          <w:sz w:val="20"/>
          <w:szCs w:val="20"/>
        </w:rPr>
        <w:t>para el primer cuatrimestre de 2021</w:t>
      </w:r>
      <w:r w:rsidRPr="00D929A7">
        <w:rPr>
          <w:rFonts w:ascii="Verdana" w:hAnsi="Verdana"/>
          <w:b/>
          <w:iCs/>
          <w:sz w:val="20"/>
          <w:szCs w:val="20"/>
        </w:rPr>
        <w:t xml:space="preserve"> </w:t>
      </w:r>
      <w:r w:rsidRPr="00D929A7">
        <w:rPr>
          <w:rFonts w:ascii="Verdana" w:hAnsi="Verdana"/>
          <w:bCs/>
          <w:iCs/>
          <w:sz w:val="20"/>
          <w:szCs w:val="20"/>
        </w:rPr>
        <w:t xml:space="preserve">mostró una ejecución financiera del </w:t>
      </w:r>
      <w:r w:rsidRPr="00D929A7">
        <w:rPr>
          <w:rFonts w:ascii="Verdana" w:hAnsi="Verdana"/>
          <w:b/>
          <w:iCs/>
          <w:sz w:val="20"/>
          <w:szCs w:val="20"/>
        </w:rPr>
        <w:t>22.73%</w:t>
      </w:r>
      <w:r w:rsidRPr="00D929A7">
        <w:rPr>
          <w:rFonts w:ascii="Verdana" w:hAnsi="Verdana"/>
          <w:bCs/>
          <w:iCs/>
          <w:sz w:val="20"/>
          <w:szCs w:val="20"/>
        </w:rPr>
        <w:t xml:space="preserve">, y una ejecución física promedio del </w:t>
      </w:r>
      <w:r w:rsidRPr="00D929A7">
        <w:rPr>
          <w:rFonts w:ascii="Verdana" w:hAnsi="Verdana"/>
          <w:b/>
          <w:iCs/>
          <w:sz w:val="20"/>
          <w:szCs w:val="20"/>
        </w:rPr>
        <w:t xml:space="preserve">28% </w:t>
      </w:r>
      <w:r w:rsidRPr="00D929A7">
        <w:rPr>
          <w:rFonts w:ascii="Verdana" w:hAnsi="Verdana"/>
          <w:bCs/>
          <w:iCs/>
          <w:sz w:val="20"/>
          <w:szCs w:val="20"/>
        </w:rPr>
        <w:t>con respecto a las metas totales programadas en el POA-2021 vigente</w:t>
      </w:r>
      <w:r>
        <w:rPr>
          <w:rFonts w:ascii="Verdana" w:hAnsi="Verdana"/>
          <w:bCs/>
          <w:iCs/>
          <w:sz w:val="20"/>
          <w:szCs w:val="20"/>
        </w:rPr>
        <w:t>, esto a pesar que no se han tenido los fondos suficientes derivado de la no aprobación de las cuotas financieras por parte del Ministerio de Finanzas públicas que la Institución ha solicitado.</w:t>
      </w:r>
    </w:p>
    <w:p w:rsidRPr="00D929A7" w:rsidR="006E4F0C" w:rsidP="006E4F0C" w:rsidRDefault="006E4F0C" w14:paraId="7DC89B6B" w14:textId="77777777">
      <w:pPr>
        <w:spacing w:after="0" w:line="240" w:lineRule="auto"/>
        <w:ind w:left="-709" w:right="-660"/>
        <w:jc w:val="both"/>
        <w:rPr>
          <w:rFonts w:ascii="Verdana" w:hAnsi="Verdana"/>
          <w:bCs/>
          <w:iCs/>
          <w:sz w:val="20"/>
          <w:szCs w:val="20"/>
        </w:rPr>
      </w:pPr>
    </w:p>
    <w:p w:rsidRPr="00AC18C4" w:rsidR="003563D8" w:rsidP="00E764BD" w:rsidRDefault="006E4F0C" w14:paraId="75D83BF4" w14:textId="61077703">
      <w:pPr>
        <w:pStyle w:val="Sinespaciado"/>
        <w:ind w:left="-716" w:right="-660"/>
        <w:jc w:val="both"/>
        <w:rPr>
          <w:rFonts w:ascii="Verdana" w:hAnsi="Verdana" w:cs="Arial"/>
          <w:sz w:val="20"/>
          <w:szCs w:val="20"/>
        </w:rPr>
      </w:pPr>
      <w:r>
        <w:rPr>
          <w:rFonts w:ascii="Verdana" w:hAnsi="Verdana" w:cs="Arial"/>
          <w:sz w:val="20"/>
          <w:szCs w:val="20"/>
        </w:rPr>
        <w:t xml:space="preserve">Para la AMSCLAE, como entidad pública es muy importante contar con todos los fondos disponibles, pues la labor que emprendemos es clave para promover el manejo integrado de la cuenca del lago de Atitlán, que es uno de los bienes naturales más importantes del país, lugar de vivienda de </w:t>
      </w:r>
      <w:r w:rsidR="00E764BD">
        <w:rPr>
          <w:rFonts w:ascii="Verdana" w:hAnsi="Verdana" w:cs="Arial"/>
          <w:sz w:val="20"/>
          <w:szCs w:val="20"/>
        </w:rPr>
        <w:t>más</w:t>
      </w:r>
      <w:r>
        <w:rPr>
          <w:rFonts w:ascii="Verdana" w:hAnsi="Verdana" w:cs="Arial"/>
          <w:sz w:val="20"/>
          <w:szCs w:val="20"/>
        </w:rPr>
        <w:t xml:space="preserve"> de 300,000 personas permanentes y con población flotante de </w:t>
      </w:r>
      <w:r w:rsidR="00E764BD">
        <w:rPr>
          <w:rFonts w:ascii="Verdana" w:hAnsi="Verdana" w:cs="Arial"/>
          <w:sz w:val="20"/>
          <w:szCs w:val="20"/>
        </w:rPr>
        <w:t>más</w:t>
      </w:r>
      <w:r>
        <w:rPr>
          <w:rFonts w:ascii="Verdana" w:hAnsi="Verdana" w:cs="Arial"/>
          <w:sz w:val="20"/>
          <w:szCs w:val="20"/>
        </w:rPr>
        <w:t xml:space="preserve"> de 500,000 personas. Es uno de los tres destinos turísticos más visitados … y aun con el efecto de la pandemia, y el cese de las actividades normales no ha impedido la generación de contaminación que degrada la calidad del lago y afecta la salud de las personas. </w:t>
      </w:r>
    </w:p>
    <w:sectPr w:rsidRPr="00AC18C4" w:rsidR="003563D8" w:rsidSect="008B65F9">
      <w:headerReference w:type="default" r:id="rId49"/>
      <w:footerReference w:type="default" r:id="rId50"/>
      <w:pgSz w:w="12240" w:h="15840" w:orient="portrait"/>
      <w:pgMar w:top="2269" w:right="1701" w:bottom="1417" w:left="1560" w:header="708" w:footer="84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7609" w:rsidP="00972930" w:rsidRDefault="00207609" w14:paraId="676DFB1A" w14:textId="77777777">
      <w:pPr>
        <w:spacing w:after="0" w:line="240" w:lineRule="auto"/>
      </w:pPr>
      <w:r>
        <w:separator/>
      </w:r>
    </w:p>
  </w:endnote>
  <w:endnote w:type="continuationSeparator" w:id="0">
    <w:p w:rsidR="00207609" w:rsidP="00972930" w:rsidRDefault="00207609" w14:paraId="1DE781E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669214"/>
      <w:docPartObj>
        <w:docPartGallery w:val="Page Numbers (Bottom of Page)"/>
        <w:docPartUnique/>
      </w:docPartObj>
    </w:sdtPr>
    <w:sdtEndPr/>
    <w:sdtContent>
      <w:p w:rsidR="008057D8" w:rsidRDefault="008057D8" w14:paraId="4A379235" w14:textId="425ED480">
        <w:pPr>
          <w:pStyle w:val="Piedepgina"/>
          <w:jc w:val="right"/>
        </w:pPr>
        <w:r>
          <w:fldChar w:fldCharType="begin"/>
        </w:r>
        <w:r>
          <w:instrText>PAGE   \* MERGEFORMAT</w:instrText>
        </w:r>
        <w:r>
          <w:fldChar w:fldCharType="separate"/>
        </w:r>
        <w:r>
          <w:rPr>
            <w:lang w:val="es-ES"/>
          </w:rPr>
          <w:t>2</w:t>
        </w:r>
        <w:r>
          <w:fldChar w:fldCharType="end"/>
        </w:r>
        <w:r>
          <w:t xml:space="preserve"> de 6</w:t>
        </w:r>
      </w:p>
    </w:sdtContent>
  </w:sdt>
  <w:p w:rsidR="008057D8" w:rsidRDefault="008057D8" w14:paraId="5421C078" w14:textId="77777777">
    <w:pPr>
      <w:pStyle w:val="Piedepgina"/>
    </w:pPr>
  </w:p>
  <w:p w:rsidR="0065205D" w:rsidRDefault="0065205D" w14:paraId="23FE49D5" w14:textId="77777777"/>
  <w:p w:rsidR="0065205D" w:rsidRDefault="0065205D" w14:paraId="42916EF0"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7609" w:rsidP="00972930" w:rsidRDefault="00207609" w14:paraId="135E0228" w14:textId="77777777">
      <w:pPr>
        <w:spacing w:after="0" w:line="240" w:lineRule="auto"/>
      </w:pPr>
      <w:r>
        <w:separator/>
      </w:r>
    </w:p>
  </w:footnote>
  <w:footnote w:type="continuationSeparator" w:id="0">
    <w:p w:rsidR="00207609" w:rsidP="00972930" w:rsidRDefault="00207609" w14:paraId="52A14DF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37685" w:rsidRDefault="00185473" w14:paraId="6160F7F8" w14:textId="2F362336">
    <w:pPr>
      <w:pStyle w:val="Encabezado"/>
    </w:pPr>
    <w:r>
      <w:rPr>
        <w:noProof/>
        <w:lang w:eastAsia="es-ES_tradnl"/>
      </w:rPr>
      <w:drawing>
        <wp:anchor distT="0" distB="0" distL="114300" distR="114300" simplePos="0" relativeHeight="251659264" behindDoc="1" locked="0" layoutInCell="1" allowOverlap="1" wp14:anchorId="63EFDD9A" wp14:editId="0B8AD265">
          <wp:simplePos x="0" y="0"/>
          <wp:positionH relativeFrom="column">
            <wp:posOffset>-935298</wp:posOffset>
          </wp:positionH>
          <wp:positionV relativeFrom="paragraph">
            <wp:posOffset>-769241</wp:posOffset>
          </wp:positionV>
          <wp:extent cx="7892415" cy="1034273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ja Membretada 2020-2024-01.png"/>
                  <pic:cNvPicPr/>
                </pic:nvPicPr>
                <pic:blipFill>
                  <a:blip r:embed="rId1">
                    <a:extLst>
                      <a:ext uri="{28A0092B-C50C-407E-A947-70E740481C1C}">
                        <a14:useLocalDpi xmlns:a14="http://schemas.microsoft.com/office/drawing/2010/main" val="0"/>
                      </a:ext>
                    </a:extLst>
                  </a:blip>
                  <a:stretch>
                    <a:fillRect/>
                  </a:stretch>
                </pic:blipFill>
                <pic:spPr>
                  <a:xfrm>
                    <a:off x="0" y="0"/>
                    <a:ext cx="7892415" cy="10342736"/>
                  </a:xfrm>
                  <a:prstGeom prst="rect">
                    <a:avLst/>
                  </a:prstGeom>
                </pic:spPr>
              </pic:pic>
            </a:graphicData>
          </a:graphic>
          <wp14:sizeRelH relativeFrom="page">
            <wp14:pctWidth>0</wp14:pctWidth>
          </wp14:sizeRelH>
          <wp14:sizeRelV relativeFrom="page">
            <wp14:pctHeight>0</wp14:pctHeight>
          </wp14:sizeRelV>
        </wp:anchor>
      </w:drawing>
    </w:r>
    <w:r w:rsidR="4A165DB5">
      <w:rPr/>
      <w:t/>
    </w:r>
    <w:r w:rsidR="5DAC0B5F">
      <w:rPr/>
      <w:t/>
    </w:r>
  </w:p>
  <w:p w:rsidR="0065205D" w:rsidRDefault="0065205D" w14:paraId="011398CA" w14:textId="77777777"/>
  <w:p w:rsidR="0065205D" w:rsidRDefault="00294B8C" w14:paraId="4A62B526" w14:textId="4AF1ABFA">
    <w:r>
      <w:rPr>
        <w:noProof/>
      </w:rPr>
      <mc:AlternateContent>
        <mc:Choice Requires="wps">
          <w:drawing>
            <wp:anchor distT="45720" distB="45720" distL="114300" distR="114300" simplePos="0" relativeHeight="251661312" behindDoc="1" locked="0" layoutInCell="1" allowOverlap="1" wp14:anchorId="3C1B15BC" wp14:editId="571929B3">
              <wp:simplePos x="0" y="0"/>
              <wp:positionH relativeFrom="margin">
                <wp:posOffset>1629770</wp:posOffset>
              </wp:positionH>
              <wp:positionV relativeFrom="paragraph">
                <wp:posOffset>213607</wp:posOffset>
              </wp:positionV>
              <wp:extent cx="2362807" cy="400022"/>
              <wp:effectExtent l="0" t="0" r="0" b="63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07" cy="400022"/>
                      </a:xfrm>
                      <a:prstGeom prst="rect">
                        <a:avLst/>
                      </a:prstGeom>
                      <a:noFill/>
                      <a:ln w="9525">
                        <a:noFill/>
                        <a:miter lim="800000"/>
                        <a:headEnd/>
                        <a:tailEnd/>
                      </a:ln>
                    </wps:spPr>
                    <wps:txbx>
                      <w:txbxContent>
                        <w:p w:rsidR="008057D8" w:rsidP="00B550D6" w:rsidRDefault="008057D8" w14:paraId="7C211B48" w14:textId="34D99301">
                          <w:pPr>
                            <w:pStyle w:val="Sinespaciado"/>
                            <w:jc w:val="center"/>
                            <w:rPr>
                              <w:rFonts w:ascii="Century Gothic" w:hAnsi="Century Gothic"/>
                              <w:sz w:val="28"/>
                              <w:szCs w:val="28"/>
                            </w:rPr>
                          </w:pPr>
                          <w:r w:rsidRPr="00185473">
                            <w:rPr>
                              <w:rFonts w:ascii="Century Gothic" w:hAnsi="Century Gothic"/>
                              <w:sz w:val="28"/>
                              <w:szCs w:val="28"/>
                            </w:rPr>
                            <w:t>DIRECCIÓN EJECUTIVA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C1B15BC">
              <v:stroke joinstyle="miter"/>
              <v:path gradientshapeok="t" o:connecttype="rect"/>
            </v:shapetype>
            <v:shape id="Cuadro de texto 2" style="position:absolute;margin-left:128.35pt;margin-top:16.8pt;width:186.05pt;height:31.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">
              <v:textbox>
                <w:txbxContent>
                  <w:p w:rsidR="008057D8" w:rsidP="00B550D6" w:rsidRDefault="008057D8" w14:paraId="7C211B48" w14:textId="34D99301">
                    <w:pPr>
                      <w:pStyle w:val="Sinespaciado"/>
                      <w:jc w:val="center"/>
                      <w:rPr>
                        <w:rFonts w:ascii="Century Gothic" w:hAnsi="Century Gothic"/>
                        <w:sz w:val="28"/>
                        <w:szCs w:val="28"/>
                      </w:rPr>
                    </w:pPr>
                    <w:r w:rsidRPr="00185473">
                      <w:rPr>
                        <w:rFonts w:ascii="Century Gothic" w:hAnsi="Century Gothic"/>
                        <w:sz w:val="28"/>
                        <w:szCs w:val="28"/>
                      </w:rPr>
                      <w:t>DIRECCIÓN EJECUTIVA</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9EB"/>
    <w:multiLevelType w:val="hybridMultilevel"/>
    <w:tmpl w:val="570272C8"/>
    <w:lvl w:ilvl="0" w:tplc="100A000F">
      <w:start w:val="1"/>
      <w:numFmt w:val="decimal"/>
      <w:lvlText w:val="%1."/>
      <w:lvlJc w:val="left"/>
      <w:pPr>
        <w:ind w:left="1364" w:hanging="360"/>
      </w:pPr>
    </w:lvl>
    <w:lvl w:ilvl="1" w:tplc="100A0019" w:tentative="1">
      <w:start w:val="1"/>
      <w:numFmt w:val="lowerLetter"/>
      <w:lvlText w:val="%2."/>
      <w:lvlJc w:val="left"/>
      <w:pPr>
        <w:ind w:left="2084" w:hanging="360"/>
      </w:pPr>
    </w:lvl>
    <w:lvl w:ilvl="2" w:tplc="100A001B" w:tentative="1">
      <w:start w:val="1"/>
      <w:numFmt w:val="lowerRoman"/>
      <w:lvlText w:val="%3."/>
      <w:lvlJc w:val="right"/>
      <w:pPr>
        <w:ind w:left="2804" w:hanging="180"/>
      </w:pPr>
    </w:lvl>
    <w:lvl w:ilvl="3" w:tplc="100A000F" w:tentative="1">
      <w:start w:val="1"/>
      <w:numFmt w:val="decimal"/>
      <w:lvlText w:val="%4."/>
      <w:lvlJc w:val="left"/>
      <w:pPr>
        <w:ind w:left="3524" w:hanging="360"/>
      </w:pPr>
    </w:lvl>
    <w:lvl w:ilvl="4" w:tplc="100A0019" w:tentative="1">
      <w:start w:val="1"/>
      <w:numFmt w:val="lowerLetter"/>
      <w:lvlText w:val="%5."/>
      <w:lvlJc w:val="left"/>
      <w:pPr>
        <w:ind w:left="4244" w:hanging="360"/>
      </w:pPr>
    </w:lvl>
    <w:lvl w:ilvl="5" w:tplc="100A001B" w:tentative="1">
      <w:start w:val="1"/>
      <w:numFmt w:val="lowerRoman"/>
      <w:lvlText w:val="%6."/>
      <w:lvlJc w:val="right"/>
      <w:pPr>
        <w:ind w:left="4964" w:hanging="180"/>
      </w:pPr>
    </w:lvl>
    <w:lvl w:ilvl="6" w:tplc="100A000F" w:tentative="1">
      <w:start w:val="1"/>
      <w:numFmt w:val="decimal"/>
      <w:lvlText w:val="%7."/>
      <w:lvlJc w:val="left"/>
      <w:pPr>
        <w:ind w:left="5684" w:hanging="360"/>
      </w:pPr>
    </w:lvl>
    <w:lvl w:ilvl="7" w:tplc="100A0019" w:tentative="1">
      <w:start w:val="1"/>
      <w:numFmt w:val="lowerLetter"/>
      <w:lvlText w:val="%8."/>
      <w:lvlJc w:val="left"/>
      <w:pPr>
        <w:ind w:left="6404" w:hanging="360"/>
      </w:pPr>
    </w:lvl>
    <w:lvl w:ilvl="8" w:tplc="100A001B" w:tentative="1">
      <w:start w:val="1"/>
      <w:numFmt w:val="lowerRoman"/>
      <w:lvlText w:val="%9."/>
      <w:lvlJc w:val="right"/>
      <w:pPr>
        <w:ind w:left="7124" w:hanging="180"/>
      </w:pPr>
    </w:lvl>
  </w:abstractNum>
  <w:abstractNum w:abstractNumId="1" w15:restartNumberingAfterBreak="0">
    <w:nsid w:val="027C6CB4"/>
    <w:multiLevelType w:val="hybridMultilevel"/>
    <w:tmpl w:val="02586788"/>
    <w:lvl w:ilvl="0" w:tplc="100A0001">
      <w:start w:val="1"/>
      <w:numFmt w:val="bullet"/>
      <w:lvlText w:val=""/>
      <w:lvlJc w:val="left"/>
      <w:pPr>
        <w:ind w:left="720" w:hanging="360"/>
      </w:pPr>
      <w:rPr>
        <w:rFonts w:hint="default" w:ascii="Symbol" w:hAnsi="Symbol"/>
      </w:rPr>
    </w:lvl>
    <w:lvl w:ilvl="1" w:tplc="100A0003">
      <w:start w:val="1"/>
      <w:numFmt w:val="bullet"/>
      <w:lvlText w:val="o"/>
      <w:lvlJc w:val="left"/>
      <w:pPr>
        <w:ind w:left="1440" w:hanging="360"/>
      </w:pPr>
      <w:rPr>
        <w:rFonts w:hint="default" w:ascii="Courier New" w:hAnsi="Courier New" w:cs="Courier New"/>
      </w:rPr>
    </w:lvl>
    <w:lvl w:ilvl="2" w:tplc="100A0005">
      <w:start w:val="1"/>
      <w:numFmt w:val="bullet"/>
      <w:lvlText w:val=""/>
      <w:lvlJc w:val="left"/>
      <w:pPr>
        <w:ind w:left="2160" w:hanging="360"/>
      </w:pPr>
      <w:rPr>
        <w:rFonts w:hint="default" w:ascii="Wingdings" w:hAnsi="Wingdings"/>
      </w:rPr>
    </w:lvl>
    <w:lvl w:ilvl="3" w:tplc="100A0001">
      <w:start w:val="1"/>
      <w:numFmt w:val="bullet"/>
      <w:lvlText w:val=""/>
      <w:lvlJc w:val="left"/>
      <w:pPr>
        <w:ind w:left="2880" w:hanging="360"/>
      </w:pPr>
      <w:rPr>
        <w:rFonts w:hint="default" w:ascii="Symbol" w:hAnsi="Symbol"/>
      </w:rPr>
    </w:lvl>
    <w:lvl w:ilvl="4" w:tplc="100A0003">
      <w:start w:val="1"/>
      <w:numFmt w:val="bullet"/>
      <w:lvlText w:val="o"/>
      <w:lvlJc w:val="left"/>
      <w:pPr>
        <w:ind w:left="3600" w:hanging="360"/>
      </w:pPr>
      <w:rPr>
        <w:rFonts w:hint="default" w:ascii="Courier New" w:hAnsi="Courier New" w:cs="Courier New"/>
      </w:rPr>
    </w:lvl>
    <w:lvl w:ilvl="5" w:tplc="100A0005">
      <w:start w:val="1"/>
      <w:numFmt w:val="bullet"/>
      <w:lvlText w:val=""/>
      <w:lvlJc w:val="left"/>
      <w:pPr>
        <w:ind w:left="4320" w:hanging="360"/>
      </w:pPr>
      <w:rPr>
        <w:rFonts w:hint="default" w:ascii="Wingdings" w:hAnsi="Wingdings"/>
      </w:rPr>
    </w:lvl>
    <w:lvl w:ilvl="6" w:tplc="100A0001">
      <w:start w:val="1"/>
      <w:numFmt w:val="bullet"/>
      <w:lvlText w:val=""/>
      <w:lvlJc w:val="left"/>
      <w:pPr>
        <w:ind w:left="5040" w:hanging="360"/>
      </w:pPr>
      <w:rPr>
        <w:rFonts w:hint="default" w:ascii="Symbol" w:hAnsi="Symbol"/>
      </w:rPr>
    </w:lvl>
    <w:lvl w:ilvl="7" w:tplc="100A0003">
      <w:start w:val="1"/>
      <w:numFmt w:val="bullet"/>
      <w:lvlText w:val="o"/>
      <w:lvlJc w:val="left"/>
      <w:pPr>
        <w:ind w:left="5760" w:hanging="360"/>
      </w:pPr>
      <w:rPr>
        <w:rFonts w:hint="default" w:ascii="Courier New" w:hAnsi="Courier New" w:cs="Courier New"/>
      </w:rPr>
    </w:lvl>
    <w:lvl w:ilvl="8" w:tplc="100A0005">
      <w:start w:val="1"/>
      <w:numFmt w:val="bullet"/>
      <w:lvlText w:val=""/>
      <w:lvlJc w:val="left"/>
      <w:pPr>
        <w:ind w:left="6480" w:hanging="360"/>
      </w:pPr>
      <w:rPr>
        <w:rFonts w:hint="default" w:ascii="Wingdings" w:hAnsi="Wingdings"/>
      </w:rPr>
    </w:lvl>
  </w:abstractNum>
  <w:abstractNum w:abstractNumId="2" w15:restartNumberingAfterBreak="0">
    <w:nsid w:val="063D1538"/>
    <w:multiLevelType w:val="multilevel"/>
    <w:tmpl w:val="989413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C4432E"/>
    <w:multiLevelType w:val="hybridMultilevel"/>
    <w:tmpl w:val="FB9631C2"/>
    <w:lvl w:ilvl="0" w:tplc="100A0001">
      <w:start w:val="1"/>
      <w:numFmt w:val="bullet"/>
      <w:lvlText w:val=""/>
      <w:lvlJc w:val="left"/>
      <w:pPr>
        <w:ind w:left="720" w:hanging="360"/>
      </w:pPr>
      <w:rPr>
        <w:rFonts w:hint="default" w:ascii="Symbol" w:hAnsi="Symbol"/>
      </w:rPr>
    </w:lvl>
    <w:lvl w:ilvl="1" w:tplc="100A0003">
      <w:start w:val="1"/>
      <w:numFmt w:val="bullet"/>
      <w:lvlText w:val="o"/>
      <w:lvlJc w:val="left"/>
      <w:pPr>
        <w:ind w:left="1440" w:hanging="360"/>
      </w:pPr>
      <w:rPr>
        <w:rFonts w:hint="default" w:ascii="Courier New" w:hAnsi="Courier New" w:cs="Courier New"/>
      </w:rPr>
    </w:lvl>
    <w:lvl w:ilvl="2" w:tplc="100A0005">
      <w:start w:val="1"/>
      <w:numFmt w:val="bullet"/>
      <w:lvlText w:val=""/>
      <w:lvlJc w:val="left"/>
      <w:pPr>
        <w:ind w:left="2160" w:hanging="360"/>
      </w:pPr>
      <w:rPr>
        <w:rFonts w:hint="default" w:ascii="Wingdings" w:hAnsi="Wingdings"/>
      </w:rPr>
    </w:lvl>
    <w:lvl w:ilvl="3" w:tplc="100A0001">
      <w:start w:val="1"/>
      <w:numFmt w:val="bullet"/>
      <w:lvlText w:val=""/>
      <w:lvlJc w:val="left"/>
      <w:pPr>
        <w:ind w:left="2880" w:hanging="360"/>
      </w:pPr>
      <w:rPr>
        <w:rFonts w:hint="default" w:ascii="Symbol" w:hAnsi="Symbol"/>
      </w:rPr>
    </w:lvl>
    <w:lvl w:ilvl="4" w:tplc="100A0003">
      <w:start w:val="1"/>
      <w:numFmt w:val="bullet"/>
      <w:lvlText w:val="o"/>
      <w:lvlJc w:val="left"/>
      <w:pPr>
        <w:ind w:left="3600" w:hanging="360"/>
      </w:pPr>
      <w:rPr>
        <w:rFonts w:hint="default" w:ascii="Courier New" w:hAnsi="Courier New" w:cs="Courier New"/>
      </w:rPr>
    </w:lvl>
    <w:lvl w:ilvl="5" w:tplc="100A0005">
      <w:start w:val="1"/>
      <w:numFmt w:val="bullet"/>
      <w:lvlText w:val=""/>
      <w:lvlJc w:val="left"/>
      <w:pPr>
        <w:ind w:left="4320" w:hanging="360"/>
      </w:pPr>
      <w:rPr>
        <w:rFonts w:hint="default" w:ascii="Wingdings" w:hAnsi="Wingdings"/>
      </w:rPr>
    </w:lvl>
    <w:lvl w:ilvl="6" w:tplc="100A0001">
      <w:start w:val="1"/>
      <w:numFmt w:val="bullet"/>
      <w:lvlText w:val=""/>
      <w:lvlJc w:val="left"/>
      <w:pPr>
        <w:ind w:left="5040" w:hanging="360"/>
      </w:pPr>
      <w:rPr>
        <w:rFonts w:hint="default" w:ascii="Symbol" w:hAnsi="Symbol"/>
      </w:rPr>
    </w:lvl>
    <w:lvl w:ilvl="7" w:tplc="100A0003">
      <w:start w:val="1"/>
      <w:numFmt w:val="bullet"/>
      <w:lvlText w:val="o"/>
      <w:lvlJc w:val="left"/>
      <w:pPr>
        <w:ind w:left="5760" w:hanging="360"/>
      </w:pPr>
      <w:rPr>
        <w:rFonts w:hint="default" w:ascii="Courier New" w:hAnsi="Courier New" w:cs="Courier New"/>
      </w:rPr>
    </w:lvl>
    <w:lvl w:ilvl="8" w:tplc="100A0005">
      <w:start w:val="1"/>
      <w:numFmt w:val="bullet"/>
      <w:lvlText w:val=""/>
      <w:lvlJc w:val="left"/>
      <w:pPr>
        <w:ind w:left="6480" w:hanging="360"/>
      </w:pPr>
      <w:rPr>
        <w:rFonts w:hint="default" w:ascii="Wingdings" w:hAnsi="Wingdings"/>
      </w:rPr>
    </w:lvl>
  </w:abstractNum>
  <w:abstractNum w:abstractNumId="4" w15:restartNumberingAfterBreak="0">
    <w:nsid w:val="0AD25C8E"/>
    <w:multiLevelType w:val="hybridMultilevel"/>
    <w:tmpl w:val="D7FC6CE0"/>
    <w:lvl w:ilvl="0" w:tplc="100A0001">
      <w:start w:val="1"/>
      <w:numFmt w:val="bullet"/>
      <w:lvlText w:val=""/>
      <w:lvlJc w:val="left"/>
      <w:pPr>
        <w:ind w:left="720" w:hanging="360"/>
      </w:pPr>
      <w:rPr>
        <w:rFonts w:hint="default" w:ascii="Symbol" w:hAnsi="Symbol"/>
      </w:rPr>
    </w:lvl>
    <w:lvl w:ilvl="1" w:tplc="100A0003">
      <w:start w:val="1"/>
      <w:numFmt w:val="bullet"/>
      <w:lvlText w:val="o"/>
      <w:lvlJc w:val="left"/>
      <w:pPr>
        <w:ind w:left="1440" w:hanging="360"/>
      </w:pPr>
      <w:rPr>
        <w:rFonts w:hint="default" w:ascii="Courier New" w:hAnsi="Courier New" w:cs="Courier New"/>
      </w:rPr>
    </w:lvl>
    <w:lvl w:ilvl="2" w:tplc="100A0005">
      <w:start w:val="1"/>
      <w:numFmt w:val="bullet"/>
      <w:lvlText w:val=""/>
      <w:lvlJc w:val="left"/>
      <w:pPr>
        <w:ind w:left="2160" w:hanging="360"/>
      </w:pPr>
      <w:rPr>
        <w:rFonts w:hint="default" w:ascii="Wingdings" w:hAnsi="Wingdings"/>
      </w:rPr>
    </w:lvl>
    <w:lvl w:ilvl="3" w:tplc="100A0001">
      <w:start w:val="1"/>
      <w:numFmt w:val="bullet"/>
      <w:lvlText w:val=""/>
      <w:lvlJc w:val="left"/>
      <w:pPr>
        <w:ind w:left="2880" w:hanging="360"/>
      </w:pPr>
      <w:rPr>
        <w:rFonts w:hint="default" w:ascii="Symbol" w:hAnsi="Symbol"/>
      </w:rPr>
    </w:lvl>
    <w:lvl w:ilvl="4" w:tplc="100A0003">
      <w:start w:val="1"/>
      <w:numFmt w:val="bullet"/>
      <w:lvlText w:val="o"/>
      <w:lvlJc w:val="left"/>
      <w:pPr>
        <w:ind w:left="3600" w:hanging="360"/>
      </w:pPr>
      <w:rPr>
        <w:rFonts w:hint="default" w:ascii="Courier New" w:hAnsi="Courier New" w:cs="Courier New"/>
      </w:rPr>
    </w:lvl>
    <w:lvl w:ilvl="5" w:tplc="100A0005">
      <w:start w:val="1"/>
      <w:numFmt w:val="bullet"/>
      <w:lvlText w:val=""/>
      <w:lvlJc w:val="left"/>
      <w:pPr>
        <w:ind w:left="4320" w:hanging="360"/>
      </w:pPr>
      <w:rPr>
        <w:rFonts w:hint="default" w:ascii="Wingdings" w:hAnsi="Wingdings"/>
      </w:rPr>
    </w:lvl>
    <w:lvl w:ilvl="6" w:tplc="100A0001">
      <w:start w:val="1"/>
      <w:numFmt w:val="bullet"/>
      <w:lvlText w:val=""/>
      <w:lvlJc w:val="left"/>
      <w:pPr>
        <w:ind w:left="5040" w:hanging="360"/>
      </w:pPr>
      <w:rPr>
        <w:rFonts w:hint="default" w:ascii="Symbol" w:hAnsi="Symbol"/>
      </w:rPr>
    </w:lvl>
    <w:lvl w:ilvl="7" w:tplc="100A0003">
      <w:start w:val="1"/>
      <w:numFmt w:val="bullet"/>
      <w:lvlText w:val="o"/>
      <w:lvlJc w:val="left"/>
      <w:pPr>
        <w:ind w:left="5760" w:hanging="360"/>
      </w:pPr>
      <w:rPr>
        <w:rFonts w:hint="default" w:ascii="Courier New" w:hAnsi="Courier New" w:cs="Courier New"/>
      </w:rPr>
    </w:lvl>
    <w:lvl w:ilvl="8" w:tplc="100A0005">
      <w:start w:val="1"/>
      <w:numFmt w:val="bullet"/>
      <w:lvlText w:val=""/>
      <w:lvlJc w:val="left"/>
      <w:pPr>
        <w:ind w:left="6480" w:hanging="360"/>
      </w:pPr>
      <w:rPr>
        <w:rFonts w:hint="default" w:ascii="Wingdings" w:hAnsi="Wingdings"/>
      </w:rPr>
    </w:lvl>
  </w:abstractNum>
  <w:abstractNum w:abstractNumId="5" w15:restartNumberingAfterBreak="0">
    <w:nsid w:val="0C8B5094"/>
    <w:multiLevelType w:val="multilevel"/>
    <w:tmpl w:val="04488B04"/>
    <w:lvl w:ilvl="0">
      <w:start w:val="1"/>
      <w:numFmt w:val="decimal"/>
      <w:lvlText w:val="%1."/>
      <w:lvlJc w:val="left"/>
      <w:pPr>
        <w:ind w:left="403" w:hanging="403"/>
      </w:pPr>
      <w:rPr>
        <w:rFonts w:hint="default"/>
      </w:rPr>
    </w:lvl>
    <w:lvl w:ilvl="1">
      <w:start w:val="1"/>
      <w:numFmt w:val="decimal"/>
      <w:lvlText w:val="%1.%2)"/>
      <w:lvlJc w:val="left"/>
      <w:pPr>
        <w:ind w:left="-164" w:hanging="403"/>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6" w15:restartNumberingAfterBreak="0">
    <w:nsid w:val="1ACE78B2"/>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1D563D"/>
    <w:multiLevelType w:val="hybridMultilevel"/>
    <w:tmpl w:val="58FE5B5E"/>
    <w:lvl w:ilvl="0" w:tplc="7DD0F4C4">
      <w:start w:val="1"/>
      <w:numFmt w:val="decimal"/>
      <w:lvlText w:val="%1.."/>
      <w:lvlJc w:val="left"/>
      <w:pPr>
        <w:ind w:hanging="432"/>
      </w:pPr>
      <w:rPr>
        <w:rFonts w:hint="default" w:ascii="Verdana" w:hAnsi="Verdana" w:eastAsia="Verdana"/>
        <w:color w:val="4471C4"/>
        <w:w w:val="99"/>
        <w:sz w:val="20"/>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F3564B7"/>
    <w:multiLevelType w:val="hybridMultilevel"/>
    <w:tmpl w:val="FBC67B6A"/>
    <w:lvl w:ilvl="0" w:tplc="DC764C06">
      <w:start w:val="1"/>
      <w:numFmt w:val="decimal"/>
      <w:lvlText w:val="%1.."/>
      <w:lvlJc w:val="left"/>
      <w:pPr>
        <w:ind w:hanging="432"/>
      </w:pPr>
      <w:rPr>
        <w:rFonts w:hint="default" w:ascii="Verdana" w:hAnsi="Verdana" w:eastAsia="Verdana"/>
        <w:color w:val="4471C4"/>
        <w:w w:val="99"/>
        <w:sz w:val="20"/>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31C1603"/>
    <w:multiLevelType w:val="hybridMultilevel"/>
    <w:tmpl w:val="36BE8644"/>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0" w15:restartNumberingAfterBreak="0">
    <w:nsid w:val="2AB942C9"/>
    <w:multiLevelType w:val="hybridMultilevel"/>
    <w:tmpl w:val="A6B4DA4C"/>
    <w:lvl w:ilvl="0" w:tplc="3F2494A4">
      <w:start w:val="1"/>
      <w:numFmt w:val="decimal"/>
      <w:lvlText w:val="%1"/>
      <w:lvlJc w:val="left"/>
      <w:pPr>
        <w:ind w:hanging="432"/>
      </w:pPr>
      <w:rPr>
        <w:rFonts w:hint="default"/>
      </w:rPr>
    </w:lvl>
    <w:lvl w:ilvl="1" w:tplc="DC764C06">
      <w:start w:val="1"/>
      <w:numFmt w:val="decimal"/>
      <w:lvlText w:val="%1.%2."/>
      <w:lvlJc w:val="left"/>
      <w:pPr>
        <w:ind w:hanging="432"/>
      </w:pPr>
      <w:rPr>
        <w:rFonts w:hint="default" w:ascii="Verdana" w:hAnsi="Verdana" w:eastAsia="Verdana"/>
        <w:color w:val="4471C4"/>
        <w:w w:val="99"/>
        <w:sz w:val="20"/>
        <w:szCs w:val="20"/>
      </w:rPr>
    </w:lvl>
    <w:lvl w:ilvl="2" w:tplc="E12854B2">
      <w:start w:val="1"/>
      <w:numFmt w:val="bullet"/>
      <w:lvlText w:val="•"/>
      <w:lvlJc w:val="left"/>
      <w:rPr>
        <w:rFonts w:hint="default"/>
      </w:rPr>
    </w:lvl>
    <w:lvl w:ilvl="3" w:tplc="C4E081BC">
      <w:start w:val="1"/>
      <w:numFmt w:val="bullet"/>
      <w:lvlText w:val="•"/>
      <w:lvlJc w:val="left"/>
      <w:rPr>
        <w:rFonts w:hint="default"/>
      </w:rPr>
    </w:lvl>
    <w:lvl w:ilvl="4" w:tplc="9F864EAC">
      <w:start w:val="1"/>
      <w:numFmt w:val="bullet"/>
      <w:lvlText w:val="•"/>
      <w:lvlJc w:val="left"/>
      <w:rPr>
        <w:rFonts w:hint="default"/>
      </w:rPr>
    </w:lvl>
    <w:lvl w:ilvl="5" w:tplc="B2FE263A">
      <w:start w:val="1"/>
      <w:numFmt w:val="bullet"/>
      <w:lvlText w:val="•"/>
      <w:lvlJc w:val="left"/>
      <w:rPr>
        <w:rFonts w:hint="default"/>
      </w:rPr>
    </w:lvl>
    <w:lvl w:ilvl="6" w:tplc="0B088FF2">
      <w:start w:val="1"/>
      <w:numFmt w:val="bullet"/>
      <w:lvlText w:val="•"/>
      <w:lvlJc w:val="left"/>
      <w:rPr>
        <w:rFonts w:hint="default"/>
      </w:rPr>
    </w:lvl>
    <w:lvl w:ilvl="7" w:tplc="CEE4837E">
      <w:start w:val="1"/>
      <w:numFmt w:val="bullet"/>
      <w:lvlText w:val="•"/>
      <w:lvlJc w:val="left"/>
      <w:rPr>
        <w:rFonts w:hint="default"/>
      </w:rPr>
    </w:lvl>
    <w:lvl w:ilvl="8" w:tplc="DE865D16">
      <w:start w:val="1"/>
      <w:numFmt w:val="bullet"/>
      <w:lvlText w:val="•"/>
      <w:lvlJc w:val="left"/>
      <w:rPr>
        <w:rFonts w:hint="default"/>
      </w:rPr>
    </w:lvl>
  </w:abstractNum>
  <w:abstractNum w:abstractNumId="11" w15:restartNumberingAfterBreak="0">
    <w:nsid w:val="2B4418B6"/>
    <w:multiLevelType w:val="multilevel"/>
    <w:tmpl w:val="10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15:restartNumberingAfterBreak="0">
    <w:nsid w:val="2F8F3650"/>
    <w:multiLevelType w:val="multilevel"/>
    <w:tmpl w:val="7A1CFC2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A738ED"/>
    <w:multiLevelType w:val="hybridMultilevel"/>
    <w:tmpl w:val="2AEC2714"/>
    <w:lvl w:ilvl="0" w:tplc="7DD0F4C4">
      <w:start w:val="1"/>
      <w:numFmt w:val="decimal"/>
      <w:lvlText w:val="%1.."/>
      <w:lvlJc w:val="left"/>
      <w:pPr>
        <w:ind w:hanging="432"/>
      </w:pPr>
      <w:rPr>
        <w:rFonts w:hint="default" w:ascii="Verdana" w:hAnsi="Verdana" w:eastAsia="Verdana"/>
        <w:color w:val="4471C4"/>
        <w:w w:val="99"/>
        <w:sz w:val="20"/>
        <w:szCs w:val="20"/>
      </w:rPr>
    </w:lvl>
    <w:lvl w:ilvl="1" w:tplc="100A0019" w:tentative="1">
      <w:start w:val="1"/>
      <w:numFmt w:val="lowerLetter"/>
      <w:lvlText w:val="%2."/>
      <w:lvlJc w:val="left"/>
      <w:pPr>
        <w:ind w:left="5976" w:hanging="360"/>
      </w:pPr>
    </w:lvl>
    <w:lvl w:ilvl="2" w:tplc="100A001B" w:tentative="1">
      <w:start w:val="1"/>
      <w:numFmt w:val="lowerRoman"/>
      <w:lvlText w:val="%3."/>
      <w:lvlJc w:val="right"/>
      <w:pPr>
        <w:ind w:left="6696" w:hanging="180"/>
      </w:pPr>
    </w:lvl>
    <w:lvl w:ilvl="3" w:tplc="100A000F" w:tentative="1">
      <w:start w:val="1"/>
      <w:numFmt w:val="decimal"/>
      <w:lvlText w:val="%4."/>
      <w:lvlJc w:val="left"/>
      <w:pPr>
        <w:ind w:left="7416" w:hanging="360"/>
      </w:pPr>
    </w:lvl>
    <w:lvl w:ilvl="4" w:tplc="100A0019" w:tentative="1">
      <w:start w:val="1"/>
      <w:numFmt w:val="lowerLetter"/>
      <w:lvlText w:val="%5."/>
      <w:lvlJc w:val="left"/>
      <w:pPr>
        <w:ind w:left="8136" w:hanging="360"/>
      </w:pPr>
    </w:lvl>
    <w:lvl w:ilvl="5" w:tplc="100A001B" w:tentative="1">
      <w:start w:val="1"/>
      <w:numFmt w:val="lowerRoman"/>
      <w:lvlText w:val="%6."/>
      <w:lvlJc w:val="right"/>
      <w:pPr>
        <w:ind w:left="8856" w:hanging="180"/>
      </w:pPr>
    </w:lvl>
    <w:lvl w:ilvl="6" w:tplc="100A000F" w:tentative="1">
      <w:start w:val="1"/>
      <w:numFmt w:val="decimal"/>
      <w:lvlText w:val="%7."/>
      <w:lvlJc w:val="left"/>
      <w:pPr>
        <w:ind w:left="9576" w:hanging="360"/>
      </w:pPr>
    </w:lvl>
    <w:lvl w:ilvl="7" w:tplc="100A0019" w:tentative="1">
      <w:start w:val="1"/>
      <w:numFmt w:val="lowerLetter"/>
      <w:lvlText w:val="%8."/>
      <w:lvlJc w:val="left"/>
      <w:pPr>
        <w:ind w:left="10296" w:hanging="360"/>
      </w:pPr>
    </w:lvl>
    <w:lvl w:ilvl="8" w:tplc="100A001B" w:tentative="1">
      <w:start w:val="1"/>
      <w:numFmt w:val="lowerRoman"/>
      <w:lvlText w:val="%9."/>
      <w:lvlJc w:val="right"/>
      <w:pPr>
        <w:ind w:left="11016" w:hanging="180"/>
      </w:pPr>
    </w:lvl>
  </w:abstractNum>
  <w:abstractNum w:abstractNumId="14" w15:restartNumberingAfterBreak="0">
    <w:nsid w:val="313278F4"/>
    <w:multiLevelType w:val="multilevel"/>
    <w:tmpl w:val="F1E0E996"/>
    <w:lvl w:ilvl="0">
      <w:start w:val="1"/>
      <w:numFmt w:val="decimal"/>
      <w:lvlText w:val="%1."/>
      <w:lvlJc w:val="left"/>
      <w:pPr>
        <w:ind w:left="360" w:hanging="360"/>
      </w:pPr>
      <w:rPr>
        <w:rFonts w:hint="default"/>
        <w:b/>
        <w:bCs/>
      </w:rPr>
    </w:lvl>
    <w:lvl w:ilvl="1">
      <w:start w:val="3"/>
      <w:numFmt w:val="decimal"/>
      <w:lvlText w:val="%1.%2."/>
      <w:lvlJc w:val="left"/>
      <w:pPr>
        <w:ind w:left="792" w:hanging="432"/>
      </w:pPr>
      <w:rPr>
        <w:rFonts w:hint="default"/>
        <w:color w:val="2F5496" w:themeColor="accent1" w:themeShade="BF"/>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1444866"/>
    <w:multiLevelType w:val="multilevel"/>
    <w:tmpl w:val="7A1CFC2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950A1D"/>
    <w:multiLevelType w:val="multilevel"/>
    <w:tmpl w:val="7B8664F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0F6D37"/>
    <w:multiLevelType w:val="hybridMultilevel"/>
    <w:tmpl w:val="06E4A5EA"/>
    <w:lvl w:ilvl="0" w:tplc="20269BF2">
      <w:start w:val="1"/>
      <w:numFmt w:val="decimal"/>
      <w:lvlText w:val="%1."/>
      <w:lvlJc w:val="left"/>
      <w:pPr>
        <w:ind w:left="644" w:hanging="360"/>
      </w:pPr>
      <w:rPr>
        <w:rFonts w:hint="default"/>
      </w:rPr>
    </w:lvl>
    <w:lvl w:ilvl="1" w:tplc="100A0019" w:tentative="1">
      <w:start w:val="1"/>
      <w:numFmt w:val="lowerLetter"/>
      <w:lvlText w:val="%2."/>
      <w:lvlJc w:val="left"/>
      <w:pPr>
        <w:ind w:left="1582" w:hanging="360"/>
      </w:pPr>
    </w:lvl>
    <w:lvl w:ilvl="2" w:tplc="100A001B" w:tentative="1">
      <w:start w:val="1"/>
      <w:numFmt w:val="lowerRoman"/>
      <w:lvlText w:val="%3."/>
      <w:lvlJc w:val="right"/>
      <w:pPr>
        <w:ind w:left="2302" w:hanging="180"/>
      </w:pPr>
    </w:lvl>
    <w:lvl w:ilvl="3" w:tplc="100A000F" w:tentative="1">
      <w:start w:val="1"/>
      <w:numFmt w:val="decimal"/>
      <w:lvlText w:val="%4."/>
      <w:lvlJc w:val="left"/>
      <w:pPr>
        <w:ind w:left="3022" w:hanging="360"/>
      </w:pPr>
    </w:lvl>
    <w:lvl w:ilvl="4" w:tplc="100A0019" w:tentative="1">
      <w:start w:val="1"/>
      <w:numFmt w:val="lowerLetter"/>
      <w:lvlText w:val="%5."/>
      <w:lvlJc w:val="left"/>
      <w:pPr>
        <w:ind w:left="3742" w:hanging="360"/>
      </w:pPr>
    </w:lvl>
    <w:lvl w:ilvl="5" w:tplc="100A001B" w:tentative="1">
      <w:start w:val="1"/>
      <w:numFmt w:val="lowerRoman"/>
      <w:lvlText w:val="%6."/>
      <w:lvlJc w:val="right"/>
      <w:pPr>
        <w:ind w:left="4462" w:hanging="180"/>
      </w:pPr>
    </w:lvl>
    <w:lvl w:ilvl="6" w:tplc="100A000F" w:tentative="1">
      <w:start w:val="1"/>
      <w:numFmt w:val="decimal"/>
      <w:lvlText w:val="%7."/>
      <w:lvlJc w:val="left"/>
      <w:pPr>
        <w:ind w:left="5182" w:hanging="360"/>
      </w:pPr>
    </w:lvl>
    <w:lvl w:ilvl="7" w:tplc="100A0019" w:tentative="1">
      <w:start w:val="1"/>
      <w:numFmt w:val="lowerLetter"/>
      <w:lvlText w:val="%8."/>
      <w:lvlJc w:val="left"/>
      <w:pPr>
        <w:ind w:left="5902" w:hanging="360"/>
      </w:pPr>
    </w:lvl>
    <w:lvl w:ilvl="8" w:tplc="100A001B" w:tentative="1">
      <w:start w:val="1"/>
      <w:numFmt w:val="lowerRoman"/>
      <w:lvlText w:val="%9."/>
      <w:lvlJc w:val="right"/>
      <w:pPr>
        <w:ind w:left="6622" w:hanging="180"/>
      </w:pPr>
    </w:lvl>
  </w:abstractNum>
  <w:abstractNum w:abstractNumId="18" w15:restartNumberingAfterBreak="0">
    <w:nsid w:val="39D55D9E"/>
    <w:multiLevelType w:val="multilevel"/>
    <w:tmpl w:val="7A1CFC2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F6060F"/>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C112386"/>
    <w:multiLevelType w:val="hybridMultilevel"/>
    <w:tmpl w:val="F4E8095A"/>
    <w:lvl w:ilvl="0" w:tplc="100A000F">
      <w:start w:val="1"/>
      <w:numFmt w:val="decimal"/>
      <w:lvlText w:val="%1."/>
      <w:lvlJc w:val="left"/>
      <w:pPr>
        <w:ind w:left="1364" w:hanging="360"/>
      </w:pPr>
    </w:lvl>
    <w:lvl w:ilvl="1" w:tplc="100A0019" w:tentative="1">
      <w:start w:val="1"/>
      <w:numFmt w:val="lowerLetter"/>
      <w:lvlText w:val="%2."/>
      <w:lvlJc w:val="left"/>
      <w:pPr>
        <w:ind w:left="2084" w:hanging="360"/>
      </w:pPr>
    </w:lvl>
    <w:lvl w:ilvl="2" w:tplc="100A001B" w:tentative="1">
      <w:start w:val="1"/>
      <w:numFmt w:val="lowerRoman"/>
      <w:lvlText w:val="%3."/>
      <w:lvlJc w:val="right"/>
      <w:pPr>
        <w:ind w:left="2804" w:hanging="180"/>
      </w:pPr>
    </w:lvl>
    <w:lvl w:ilvl="3" w:tplc="100A000F" w:tentative="1">
      <w:start w:val="1"/>
      <w:numFmt w:val="decimal"/>
      <w:lvlText w:val="%4."/>
      <w:lvlJc w:val="left"/>
      <w:pPr>
        <w:ind w:left="3524" w:hanging="360"/>
      </w:pPr>
    </w:lvl>
    <w:lvl w:ilvl="4" w:tplc="100A0019" w:tentative="1">
      <w:start w:val="1"/>
      <w:numFmt w:val="lowerLetter"/>
      <w:lvlText w:val="%5."/>
      <w:lvlJc w:val="left"/>
      <w:pPr>
        <w:ind w:left="4244" w:hanging="360"/>
      </w:pPr>
    </w:lvl>
    <w:lvl w:ilvl="5" w:tplc="100A001B" w:tentative="1">
      <w:start w:val="1"/>
      <w:numFmt w:val="lowerRoman"/>
      <w:lvlText w:val="%6."/>
      <w:lvlJc w:val="right"/>
      <w:pPr>
        <w:ind w:left="4964" w:hanging="180"/>
      </w:pPr>
    </w:lvl>
    <w:lvl w:ilvl="6" w:tplc="100A000F" w:tentative="1">
      <w:start w:val="1"/>
      <w:numFmt w:val="decimal"/>
      <w:lvlText w:val="%7."/>
      <w:lvlJc w:val="left"/>
      <w:pPr>
        <w:ind w:left="5684" w:hanging="360"/>
      </w:pPr>
    </w:lvl>
    <w:lvl w:ilvl="7" w:tplc="100A0019" w:tentative="1">
      <w:start w:val="1"/>
      <w:numFmt w:val="lowerLetter"/>
      <w:lvlText w:val="%8."/>
      <w:lvlJc w:val="left"/>
      <w:pPr>
        <w:ind w:left="6404" w:hanging="360"/>
      </w:pPr>
    </w:lvl>
    <w:lvl w:ilvl="8" w:tplc="100A001B" w:tentative="1">
      <w:start w:val="1"/>
      <w:numFmt w:val="lowerRoman"/>
      <w:lvlText w:val="%9."/>
      <w:lvlJc w:val="right"/>
      <w:pPr>
        <w:ind w:left="7124" w:hanging="180"/>
      </w:pPr>
    </w:lvl>
  </w:abstractNum>
  <w:abstractNum w:abstractNumId="21" w15:restartNumberingAfterBreak="0">
    <w:nsid w:val="3C2B71C2"/>
    <w:multiLevelType w:val="hybridMultilevel"/>
    <w:tmpl w:val="015215B4"/>
    <w:lvl w:ilvl="0" w:tplc="FBD832C8">
      <w:start w:val="2"/>
      <w:numFmt w:val="decimal"/>
      <w:lvlText w:val="%1"/>
      <w:lvlJc w:val="left"/>
      <w:pPr>
        <w:ind w:hanging="432"/>
      </w:pPr>
      <w:rPr>
        <w:rFonts w:hint="default"/>
      </w:rPr>
    </w:lvl>
    <w:lvl w:ilvl="1" w:tplc="7DD0F4C4">
      <w:start w:val="1"/>
      <w:numFmt w:val="decimal"/>
      <w:lvlText w:val="%1.%2."/>
      <w:lvlJc w:val="left"/>
      <w:pPr>
        <w:ind w:hanging="432"/>
      </w:pPr>
      <w:rPr>
        <w:rFonts w:hint="default" w:ascii="Verdana" w:hAnsi="Verdana" w:eastAsia="Verdana"/>
        <w:color w:val="4471C4"/>
        <w:w w:val="99"/>
        <w:sz w:val="20"/>
        <w:szCs w:val="20"/>
      </w:rPr>
    </w:lvl>
    <w:lvl w:ilvl="2" w:tplc="9ABA3A1C">
      <w:start w:val="1"/>
      <w:numFmt w:val="bullet"/>
      <w:lvlText w:val="•"/>
      <w:lvlJc w:val="left"/>
      <w:rPr>
        <w:rFonts w:hint="default"/>
      </w:rPr>
    </w:lvl>
    <w:lvl w:ilvl="3" w:tplc="CC1E1D68">
      <w:start w:val="1"/>
      <w:numFmt w:val="bullet"/>
      <w:lvlText w:val="•"/>
      <w:lvlJc w:val="left"/>
      <w:rPr>
        <w:rFonts w:hint="default"/>
      </w:rPr>
    </w:lvl>
    <w:lvl w:ilvl="4" w:tplc="67744CF4">
      <w:start w:val="1"/>
      <w:numFmt w:val="bullet"/>
      <w:lvlText w:val="•"/>
      <w:lvlJc w:val="left"/>
      <w:rPr>
        <w:rFonts w:hint="default"/>
      </w:rPr>
    </w:lvl>
    <w:lvl w:ilvl="5" w:tplc="A6EC3368">
      <w:start w:val="1"/>
      <w:numFmt w:val="bullet"/>
      <w:lvlText w:val="•"/>
      <w:lvlJc w:val="left"/>
      <w:rPr>
        <w:rFonts w:hint="default"/>
      </w:rPr>
    </w:lvl>
    <w:lvl w:ilvl="6" w:tplc="70EEF5CE">
      <w:start w:val="1"/>
      <w:numFmt w:val="bullet"/>
      <w:lvlText w:val="•"/>
      <w:lvlJc w:val="left"/>
      <w:rPr>
        <w:rFonts w:hint="default"/>
      </w:rPr>
    </w:lvl>
    <w:lvl w:ilvl="7" w:tplc="7850EFB6">
      <w:start w:val="1"/>
      <w:numFmt w:val="bullet"/>
      <w:lvlText w:val="•"/>
      <w:lvlJc w:val="left"/>
      <w:rPr>
        <w:rFonts w:hint="default"/>
      </w:rPr>
    </w:lvl>
    <w:lvl w:ilvl="8" w:tplc="E37A47A0">
      <w:start w:val="1"/>
      <w:numFmt w:val="bullet"/>
      <w:lvlText w:val="•"/>
      <w:lvlJc w:val="left"/>
      <w:rPr>
        <w:rFonts w:hint="default"/>
      </w:rPr>
    </w:lvl>
  </w:abstractNum>
  <w:abstractNum w:abstractNumId="22" w15:restartNumberingAfterBreak="0">
    <w:nsid w:val="3EBE469F"/>
    <w:multiLevelType w:val="hybridMultilevel"/>
    <w:tmpl w:val="41E434D6"/>
    <w:lvl w:ilvl="0" w:tplc="20269BF2">
      <w:start w:val="1"/>
      <w:numFmt w:val="decimal"/>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23" w15:restartNumberingAfterBreak="0">
    <w:nsid w:val="4793130E"/>
    <w:multiLevelType w:val="hybridMultilevel"/>
    <w:tmpl w:val="94889C8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AFF5A52"/>
    <w:multiLevelType w:val="hybridMultilevel"/>
    <w:tmpl w:val="D2D0258C"/>
    <w:lvl w:ilvl="0" w:tplc="E9EA71B0">
      <w:start w:val="1"/>
      <w:numFmt w:val="bullet"/>
      <w:lvlText w:val=""/>
      <w:lvlJc w:val="left"/>
      <w:pPr>
        <w:ind w:left="720" w:hanging="360"/>
      </w:pPr>
      <w:rPr>
        <w:rFonts w:hint="default" w:ascii="Symbol" w:hAnsi="Symbol"/>
        <w:color w:val="auto"/>
      </w:rPr>
    </w:lvl>
    <w:lvl w:ilvl="1" w:tplc="100A0003">
      <w:start w:val="1"/>
      <w:numFmt w:val="bullet"/>
      <w:lvlText w:val="o"/>
      <w:lvlJc w:val="left"/>
      <w:pPr>
        <w:ind w:left="1440" w:hanging="360"/>
      </w:pPr>
      <w:rPr>
        <w:rFonts w:hint="default" w:ascii="Courier New" w:hAnsi="Courier New" w:cs="Courier New"/>
      </w:rPr>
    </w:lvl>
    <w:lvl w:ilvl="2" w:tplc="100A0005">
      <w:start w:val="1"/>
      <w:numFmt w:val="bullet"/>
      <w:lvlText w:val=""/>
      <w:lvlJc w:val="left"/>
      <w:pPr>
        <w:ind w:left="2160" w:hanging="360"/>
      </w:pPr>
      <w:rPr>
        <w:rFonts w:hint="default" w:ascii="Wingdings" w:hAnsi="Wingdings"/>
      </w:rPr>
    </w:lvl>
    <w:lvl w:ilvl="3" w:tplc="100A0001">
      <w:start w:val="1"/>
      <w:numFmt w:val="bullet"/>
      <w:lvlText w:val=""/>
      <w:lvlJc w:val="left"/>
      <w:pPr>
        <w:ind w:left="2880" w:hanging="360"/>
      </w:pPr>
      <w:rPr>
        <w:rFonts w:hint="default" w:ascii="Symbol" w:hAnsi="Symbol"/>
      </w:rPr>
    </w:lvl>
    <w:lvl w:ilvl="4" w:tplc="100A0003">
      <w:start w:val="1"/>
      <w:numFmt w:val="bullet"/>
      <w:lvlText w:val="o"/>
      <w:lvlJc w:val="left"/>
      <w:pPr>
        <w:ind w:left="3600" w:hanging="360"/>
      </w:pPr>
      <w:rPr>
        <w:rFonts w:hint="default" w:ascii="Courier New" w:hAnsi="Courier New" w:cs="Courier New"/>
      </w:rPr>
    </w:lvl>
    <w:lvl w:ilvl="5" w:tplc="100A0005">
      <w:start w:val="1"/>
      <w:numFmt w:val="bullet"/>
      <w:lvlText w:val=""/>
      <w:lvlJc w:val="left"/>
      <w:pPr>
        <w:ind w:left="4320" w:hanging="360"/>
      </w:pPr>
      <w:rPr>
        <w:rFonts w:hint="default" w:ascii="Wingdings" w:hAnsi="Wingdings"/>
      </w:rPr>
    </w:lvl>
    <w:lvl w:ilvl="6" w:tplc="100A0001">
      <w:start w:val="1"/>
      <w:numFmt w:val="bullet"/>
      <w:lvlText w:val=""/>
      <w:lvlJc w:val="left"/>
      <w:pPr>
        <w:ind w:left="5040" w:hanging="360"/>
      </w:pPr>
      <w:rPr>
        <w:rFonts w:hint="default" w:ascii="Symbol" w:hAnsi="Symbol"/>
      </w:rPr>
    </w:lvl>
    <w:lvl w:ilvl="7" w:tplc="100A0003">
      <w:start w:val="1"/>
      <w:numFmt w:val="bullet"/>
      <w:lvlText w:val="o"/>
      <w:lvlJc w:val="left"/>
      <w:pPr>
        <w:ind w:left="5760" w:hanging="360"/>
      </w:pPr>
      <w:rPr>
        <w:rFonts w:hint="default" w:ascii="Courier New" w:hAnsi="Courier New" w:cs="Courier New"/>
      </w:rPr>
    </w:lvl>
    <w:lvl w:ilvl="8" w:tplc="100A0005">
      <w:start w:val="1"/>
      <w:numFmt w:val="bullet"/>
      <w:lvlText w:val=""/>
      <w:lvlJc w:val="left"/>
      <w:pPr>
        <w:ind w:left="6480" w:hanging="360"/>
      </w:pPr>
      <w:rPr>
        <w:rFonts w:hint="default" w:ascii="Wingdings" w:hAnsi="Wingdings"/>
      </w:rPr>
    </w:lvl>
  </w:abstractNum>
  <w:abstractNum w:abstractNumId="25" w15:restartNumberingAfterBreak="0">
    <w:nsid w:val="4E956323"/>
    <w:multiLevelType w:val="hybridMultilevel"/>
    <w:tmpl w:val="E38E787A"/>
    <w:lvl w:ilvl="0" w:tplc="20269BF2">
      <w:start w:val="1"/>
      <w:numFmt w:val="decimal"/>
      <w:lvlText w:val="%1."/>
      <w:lvlJc w:val="left"/>
      <w:pPr>
        <w:ind w:left="644" w:hanging="360"/>
      </w:pPr>
      <w:rPr>
        <w:rFonts w:hint="default"/>
      </w:rPr>
    </w:lvl>
    <w:lvl w:ilvl="1" w:tplc="100A0019" w:tentative="1">
      <w:start w:val="1"/>
      <w:numFmt w:val="lowerLetter"/>
      <w:lvlText w:val="%2."/>
      <w:lvlJc w:val="left"/>
      <w:pPr>
        <w:ind w:left="1582" w:hanging="360"/>
      </w:pPr>
    </w:lvl>
    <w:lvl w:ilvl="2" w:tplc="100A001B" w:tentative="1">
      <w:start w:val="1"/>
      <w:numFmt w:val="lowerRoman"/>
      <w:lvlText w:val="%3."/>
      <w:lvlJc w:val="right"/>
      <w:pPr>
        <w:ind w:left="2302" w:hanging="180"/>
      </w:pPr>
    </w:lvl>
    <w:lvl w:ilvl="3" w:tplc="100A000F" w:tentative="1">
      <w:start w:val="1"/>
      <w:numFmt w:val="decimal"/>
      <w:lvlText w:val="%4."/>
      <w:lvlJc w:val="left"/>
      <w:pPr>
        <w:ind w:left="3022" w:hanging="360"/>
      </w:pPr>
    </w:lvl>
    <w:lvl w:ilvl="4" w:tplc="100A0019" w:tentative="1">
      <w:start w:val="1"/>
      <w:numFmt w:val="lowerLetter"/>
      <w:lvlText w:val="%5."/>
      <w:lvlJc w:val="left"/>
      <w:pPr>
        <w:ind w:left="3742" w:hanging="360"/>
      </w:pPr>
    </w:lvl>
    <w:lvl w:ilvl="5" w:tplc="100A001B" w:tentative="1">
      <w:start w:val="1"/>
      <w:numFmt w:val="lowerRoman"/>
      <w:lvlText w:val="%6."/>
      <w:lvlJc w:val="right"/>
      <w:pPr>
        <w:ind w:left="4462" w:hanging="180"/>
      </w:pPr>
    </w:lvl>
    <w:lvl w:ilvl="6" w:tplc="100A000F" w:tentative="1">
      <w:start w:val="1"/>
      <w:numFmt w:val="decimal"/>
      <w:lvlText w:val="%7."/>
      <w:lvlJc w:val="left"/>
      <w:pPr>
        <w:ind w:left="5182" w:hanging="360"/>
      </w:pPr>
    </w:lvl>
    <w:lvl w:ilvl="7" w:tplc="100A0019" w:tentative="1">
      <w:start w:val="1"/>
      <w:numFmt w:val="lowerLetter"/>
      <w:lvlText w:val="%8."/>
      <w:lvlJc w:val="left"/>
      <w:pPr>
        <w:ind w:left="5902" w:hanging="360"/>
      </w:pPr>
    </w:lvl>
    <w:lvl w:ilvl="8" w:tplc="100A001B" w:tentative="1">
      <w:start w:val="1"/>
      <w:numFmt w:val="lowerRoman"/>
      <w:lvlText w:val="%9."/>
      <w:lvlJc w:val="right"/>
      <w:pPr>
        <w:ind w:left="6622" w:hanging="180"/>
      </w:pPr>
    </w:lvl>
  </w:abstractNum>
  <w:abstractNum w:abstractNumId="26" w15:restartNumberingAfterBreak="0">
    <w:nsid w:val="4F035A0A"/>
    <w:multiLevelType w:val="hybridMultilevel"/>
    <w:tmpl w:val="10749390"/>
    <w:lvl w:ilvl="0" w:tplc="A7AE4F18">
      <w:start w:val="3"/>
      <w:numFmt w:val="lowerLetter"/>
      <w:lvlText w:val="%1"/>
      <w:lvlJc w:val="left"/>
      <w:pPr>
        <w:ind w:hanging="233"/>
      </w:pPr>
      <w:rPr>
        <w:rFonts w:hint="default"/>
      </w:rPr>
    </w:lvl>
    <w:lvl w:ilvl="1" w:tplc="A49C9560">
      <w:start w:val="3"/>
      <w:numFmt w:val="lowerLetter"/>
      <w:lvlText w:val="%1.%2"/>
      <w:lvlJc w:val="left"/>
      <w:pPr>
        <w:ind w:hanging="233"/>
      </w:pPr>
      <w:rPr>
        <w:rFonts w:hint="default" w:ascii="Arial Narrow" w:hAnsi="Arial Narrow" w:eastAsia="Arial Narrow"/>
        <w:sz w:val="22"/>
        <w:szCs w:val="22"/>
      </w:rPr>
    </w:lvl>
    <w:lvl w:ilvl="2" w:tplc="0EF2D2C6">
      <w:start w:val="1"/>
      <w:numFmt w:val="decimal"/>
      <w:lvlText w:val="%3."/>
      <w:lvlJc w:val="left"/>
      <w:pPr>
        <w:ind w:hanging="360"/>
      </w:pPr>
      <w:rPr>
        <w:rFonts w:hint="default" w:ascii="Verdana" w:hAnsi="Verdana" w:eastAsia="Verdana"/>
        <w:b/>
        <w:bCs/>
        <w:color w:val="4471C4"/>
        <w:spacing w:val="-1"/>
        <w:w w:val="99"/>
        <w:sz w:val="20"/>
        <w:szCs w:val="20"/>
      </w:rPr>
    </w:lvl>
    <w:lvl w:ilvl="3" w:tplc="AD5E812E">
      <w:start w:val="1"/>
      <w:numFmt w:val="bullet"/>
      <w:lvlText w:val="•"/>
      <w:lvlJc w:val="left"/>
      <w:rPr>
        <w:rFonts w:hint="default"/>
      </w:rPr>
    </w:lvl>
    <w:lvl w:ilvl="4" w:tplc="401AADFE">
      <w:start w:val="1"/>
      <w:numFmt w:val="bullet"/>
      <w:lvlText w:val="•"/>
      <w:lvlJc w:val="left"/>
      <w:rPr>
        <w:rFonts w:hint="default"/>
      </w:rPr>
    </w:lvl>
    <w:lvl w:ilvl="5" w:tplc="75908E30">
      <w:start w:val="1"/>
      <w:numFmt w:val="bullet"/>
      <w:lvlText w:val="•"/>
      <w:lvlJc w:val="left"/>
      <w:rPr>
        <w:rFonts w:hint="default"/>
      </w:rPr>
    </w:lvl>
    <w:lvl w:ilvl="6" w:tplc="31BC6788">
      <w:start w:val="1"/>
      <w:numFmt w:val="bullet"/>
      <w:lvlText w:val="•"/>
      <w:lvlJc w:val="left"/>
      <w:rPr>
        <w:rFonts w:hint="default"/>
      </w:rPr>
    </w:lvl>
    <w:lvl w:ilvl="7" w:tplc="26FAAC1A">
      <w:start w:val="1"/>
      <w:numFmt w:val="bullet"/>
      <w:lvlText w:val="•"/>
      <w:lvlJc w:val="left"/>
      <w:rPr>
        <w:rFonts w:hint="default"/>
      </w:rPr>
    </w:lvl>
    <w:lvl w:ilvl="8" w:tplc="D5B62604">
      <w:start w:val="1"/>
      <w:numFmt w:val="bullet"/>
      <w:lvlText w:val="•"/>
      <w:lvlJc w:val="left"/>
      <w:rPr>
        <w:rFonts w:hint="default"/>
      </w:rPr>
    </w:lvl>
  </w:abstractNum>
  <w:abstractNum w:abstractNumId="27" w15:restartNumberingAfterBreak="0">
    <w:nsid w:val="500216C8"/>
    <w:multiLevelType w:val="multilevel"/>
    <w:tmpl w:val="78722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64178A"/>
    <w:multiLevelType w:val="hybridMultilevel"/>
    <w:tmpl w:val="5E2E95C6"/>
    <w:lvl w:ilvl="0" w:tplc="7DD0F4C4">
      <w:start w:val="1"/>
      <w:numFmt w:val="decimal"/>
      <w:lvlText w:val="%1.."/>
      <w:lvlJc w:val="left"/>
      <w:pPr>
        <w:ind w:hanging="432"/>
      </w:pPr>
      <w:rPr>
        <w:rFonts w:hint="default" w:ascii="Verdana" w:hAnsi="Verdana" w:eastAsia="Verdana"/>
        <w:color w:val="4471C4"/>
        <w:w w:val="99"/>
        <w:sz w:val="20"/>
        <w:szCs w:val="20"/>
      </w:rPr>
    </w:lvl>
    <w:lvl w:ilvl="1" w:tplc="100A0019" w:tentative="1">
      <w:start w:val="1"/>
      <w:numFmt w:val="lowerLetter"/>
      <w:lvlText w:val="%2."/>
      <w:lvlJc w:val="left"/>
      <w:pPr>
        <w:ind w:left="4464" w:hanging="360"/>
      </w:pPr>
    </w:lvl>
    <w:lvl w:ilvl="2" w:tplc="100A001B" w:tentative="1">
      <w:start w:val="1"/>
      <w:numFmt w:val="lowerRoman"/>
      <w:lvlText w:val="%3."/>
      <w:lvlJc w:val="right"/>
      <w:pPr>
        <w:ind w:left="5184" w:hanging="180"/>
      </w:pPr>
    </w:lvl>
    <w:lvl w:ilvl="3" w:tplc="100A000F" w:tentative="1">
      <w:start w:val="1"/>
      <w:numFmt w:val="decimal"/>
      <w:lvlText w:val="%4."/>
      <w:lvlJc w:val="left"/>
      <w:pPr>
        <w:ind w:left="5904" w:hanging="360"/>
      </w:pPr>
    </w:lvl>
    <w:lvl w:ilvl="4" w:tplc="100A0019" w:tentative="1">
      <w:start w:val="1"/>
      <w:numFmt w:val="lowerLetter"/>
      <w:lvlText w:val="%5."/>
      <w:lvlJc w:val="left"/>
      <w:pPr>
        <w:ind w:left="6624" w:hanging="360"/>
      </w:pPr>
    </w:lvl>
    <w:lvl w:ilvl="5" w:tplc="100A001B" w:tentative="1">
      <w:start w:val="1"/>
      <w:numFmt w:val="lowerRoman"/>
      <w:lvlText w:val="%6."/>
      <w:lvlJc w:val="right"/>
      <w:pPr>
        <w:ind w:left="7344" w:hanging="180"/>
      </w:pPr>
    </w:lvl>
    <w:lvl w:ilvl="6" w:tplc="100A000F" w:tentative="1">
      <w:start w:val="1"/>
      <w:numFmt w:val="decimal"/>
      <w:lvlText w:val="%7."/>
      <w:lvlJc w:val="left"/>
      <w:pPr>
        <w:ind w:left="8064" w:hanging="360"/>
      </w:pPr>
    </w:lvl>
    <w:lvl w:ilvl="7" w:tplc="100A0019" w:tentative="1">
      <w:start w:val="1"/>
      <w:numFmt w:val="lowerLetter"/>
      <w:lvlText w:val="%8."/>
      <w:lvlJc w:val="left"/>
      <w:pPr>
        <w:ind w:left="8784" w:hanging="360"/>
      </w:pPr>
    </w:lvl>
    <w:lvl w:ilvl="8" w:tplc="100A001B" w:tentative="1">
      <w:start w:val="1"/>
      <w:numFmt w:val="lowerRoman"/>
      <w:lvlText w:val="%9."/>
      <w:lvlJc w:val="right"/>
      <w:pPr>
        <w:ind w:left="9504" w:hanging="180"/>
      </w:pPr>
    </w:lvl>
  </w:abstractNum>
  <w:abstractNum w:abstractNumId="29" w15:restartNumberingAfterBreak="0">
    <w:nsid w:val="589514B2"/>
    <w:multiLevelType w:val="multilevel"/>
    <w:tmpl w:val="F1E0E996"/>
    <w:lvl w:ilvl="0">
      <w:start w:val="1"/>
      <w:numFmt w:val="decimal"/>
      <w:lvlText w:val="%1."/>
      <w:lvlJc w:val="left"/>
      <w:pPr>
        <w:ind w:left="360" w:hanging="360"/>
      </w:pPr>
      <w:rPr>
        <w:rFonts w:hint="default"/>
        <w:b/>
        <w:bCs/>
      </w:rPr>
    </w:lvl>
    <w:lvl w:ilvl="1">
      <w:start w:val="3"/>
      <w:numFmt w:val="decimal"/>
      <w:lvlText w:val="%1.%2."/>
      <w:lvlJc w:val="left"/>
      <w:pPr>
        <w:ind w:left="792" w:hanging="432"/>
      </w:pPr>
      <w:rPr>
        <w:rFonts w:hint="default"/>
        <w:color w:val="2F5496" w:themeColor="accent1" w:themeShade="BF"/>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26D7D9C"/>
    <w:multiLevelType w:val="hybridMultilevel"/>
    <w:tmpl w:val="5B2C375E"/>
    <w:lvl w:ilvl="0" w:tplc="100A000F">
      <w:start w:val="1"/>
      <w:numFmt w:val="decimal"/>
      <w:lvlText w:val="%1."/>
      <w:lvlJc w:val="left"/>
      <w:pPr>
        <w:ind w:left="862" w:hanging="360"/>
      </w:pPr>
    </w:lvl>
    <w:lvl w:ilvl="1" w:tplc="100A0019" w:tentative="1">
      <w:start w:val="1"/>
      <w:numFmt w:val="lowerLetter"/>
      <w:lvlText w:val="%2."/>
      <w:lvlJc w:val="left"/>
      <w:pPr>
        <w:ind w:left="1582" w:hanging="360"/>
      </w:pPr>
    </w:lvl>
    <w:lvl w:ilvl="2" w:tplc="100A001B" w:tentative="1">
      <w:start w:val="1"/>
      <w:numFmt w:val="lowerRoman"/>
      <w:lvlText w:val="%3."/>
      <w:lvlJc w:val="right"/>
      <w:pPr>
        <w:ind w:left="2302" w:hanging="180"/>
      </w:pPr>
    </w:lvl>
    <w:lvl w:ilvl="3" w:tplc="100A000F" w:tentative="1">
      <w:start w:val="1"/>
      <w:numFmt w:val="decimal"/>
      <w:lvlText w:val="%4."/>
      <w:lvlJc w:val="left"/>
      <w:pPr>
        <w:ind w:left="3022" w:hanging="360"/>
      </w:pPr>
    </w:lvl>
    <w:lvl w:ilvl="4" w:tplc="100A0019" w:tentative="1">
      <w:start w:val="1"/>
      <w:numFmt w:val="lowerLetter"/>
      <w:lvlText w:val="%5."/>
      <w:lvlJc w:val="left"/>
      <w:pPr>
        <w:ind w:left="3742" w:hanging="360"/>
      </w:pPr>
    </w:lvl>
    <w:lvl w:ilvl="5" w:tplc="100A001B" w:tentative="1">
      <w:start w:val="1"/>
      <w:numFmt w:val="lowerRoman"/>
      <w:lvlText w:val="%6."/>
      <w:lvlJc w:val="right"/>
      <w:pPr>
        <w:ind w:left="4462" w:hanging="180"/>
      </w:pPr>
    </w:lvl>
    <w:lvl w:ilvl="6" w:tplc="100A000F" w:tentative="1">
      <w:start w:val="1"/>
      <w:numFmt w:val="decimal"/>
      <w:lvlText w:val="%7."/>
      <w:lvlJc w:val="left"/>
      <w:pPr>
        <w:ind w:left="5182" w:hanging="360"/>
      </w:pPr>
    </w:lvl>
    <w:lvl w:ilvl="7" w:tplc="100A0019" w:tentative="1">
      <w:start w:val="1"/>
      <w:numFmt w:val="lowerLetter"/>
      <w:lvlText w:val="%8."/>
      <w:lvlJc w:val="left"/>
      <w:pPr>
        <w:ind w:left="5902" w:hanging="360"/>
      </w:pPr>
    </w:lvl>
    <w:lvl w:ilvl="8" w:tplc="100A001B" w:tentative="1">
      <w:start w:val="1"/>
      <w:numFmt w:val="lowerRoman"/>
      <w:lvlText w:val="%9."/>
      <w:lvlJc w:val="right"/>
      <w:pPr>
        <w:ind w:left="6622" w:hanging="180"/>
      </w:pPr>
    </w:lvl>
  </w:abstractNum>
  <w:abstractNum w:abstractNumId="31" w15:restartNumberingAfterBreak="0">
    <w:nsid w:val="72C12FF2"/>
    <w:multiLevelType w:val="hybridMultilevel"/>
    <w:tmpl w:val="485AFA0A"/>
    <w:lvl w:ilvl="0" w:tplc="0EF2D2C6">
      <w:start w:val="1"/>
      <w:numFmt w:val="decimal"/>
      <w:lvlText w:val="%1."/>
      <w:lvlJc w:val="left"/>
      <w:pPr>
        <w:ind w:hanging="360"/>
      </w:pPr>
      <w:rPr>
        <w:rFonts w:hint="default" w:ascii="Verdana" w:hAnsi="Verdana" w:eastAsia="Verdana"/>
        <w:b/>
        <w:bCs/>
        <w:color w:val="4471C4"/>
        <w:spacing w:val="-1"/>
        <w:w w:val="99"/>
        <w:sz w:val="20"/>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757C5DA3"/>
    <w:multiLevelType w:val="multilevel"/>
    <w:tmpl w:val="80BC44F6"/>
    <w:lvl w:ilvl="0">
      <w:start w:val="1"/>
      <w:numFmt w:val="decimal"/>
      <w:lvlText w:val="%1.."/>
      <w:lvlJc w:val="left"/>
      <w:pPr>
        <w:ind w:hanging="432"/>
      </w:pPr>
      <w:rPr>
        <w:rFonts w:hint="default" w:ascii="Verdana" w:hAnsi="Verdana" w:eastAsia="Verdana"/>
        <w:color w:val="4471C4"/>
        <w:w w:val="99"/>
        <w:sz w:val="20"/>
        <w:szCs w:val="20"/>
      </w:rPr>
    </w:lvl>
    <w:lvl w:ilvl="1">
      <w:start w:val="6"/>
      <w:numFmt w:val="decimal"/>
      <w:isLgl/>
      <w:lvlText w:val="%1.%2."/>
      <w:lvlJc w:val="left"/>
      <w:pPr>
        <w:ind w:left="720"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2736" w:hanging="1440"/>
      </w:pPr>
      <w:rPr>
        <w:rFonts w:hint="default"/>
      </w:rPr>
    </w:lvl>
    <w:lvl w:ilvl="5">
      <w:start w:val="1"/>
      <w:numFmt w:val="decimal"/>
      <w:isLgl/>
      <w:lvlText w:val="%1.%2.%3.%4.%5.%6."/>
      <w:lvlJc w:val="left"/>
      <w:pPr>
        <w:ind w:left="3168"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752" w:hanging="2160"/>
      </w:pPr>
      <w:rPr>
        <w:rFonts w:hint="default"/>
      </w:rPr>
    </w:lvl>
    <w:lvl w:ilvl="8">
      <w:start w:val="1"/>
      <w:numFmt w:val="decimal"/>
      <w:isLgl/>
      <w:lvlText w:val="%1.%2.%3.%4.%5.%6.%7.%8.%9."/>
      <w:lvlJc w:val="left"/>
      <w:pPr>
        <w:ind w:left="5184" w:hanging="2160"/>
      </w:pPr>
      <w:rPr>
        <w:rFonts w:hint="default"/>
      </w:rPr>
    </w:lvl>
  </w:abstractNum>
  <w:abstractNum w:abstractNumId="33" w15:restartNumberingAfterBreak="0">
    <w:nsid w:val="75F205B7"/>
    <w:multiLevelType w:val="multilevel"/>
    <w:tmpl w:val="1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A8640A"/>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C86C36"/>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542F74"/>
    <w:multiLevelType w:val="hybridMultilevel"/>
    <w:tmpl w:val="C0B21928"/>
    <w:lvl w:ilvl="0" w:tplc="100A0001">
      <w:start w:val="1"/>
      <w:numFmt w:val="bullet"/>
      <w:lvlText w:val=""/>
      <w:lvlJc w:val="left"/>
      <w:pPr>
        <w:ind w:left="4" w:hanging="360"/>
      </w:pPr>
      <w:rPr>
        <w:rFonts w:hint="default" w:ascii="Symbol" w:hAnsi="Symbol"/>
      </w:rPr>
    </w:lvl>
    <w:lvl w:ilvl="1" w:tplc="100A0003" w:tentative="1">
      <w:start w:val="1"/>
      <w:numFmt w:val="bullet"/>
      <w:lvlText w:val="o"/>
      <w:lvlJc w:val="left"/>
      <w:pPr>
        <w:ind w:left="724" w:hanging="360"/>
      </w:pPr>
      <w:rPr>
        <w:rFonts w:hint="default" w:ascii="Courier New" w:hAnsi="Courier New" w:cs="Courier New"/>
      </w:rPr>
    </w:lvl>
    <w:lvl w:ilvl="2" w:tplc="100A0005" w:tentative="1">
      <w:start w:val="1"/>
      <w:numFmt w:val="bullet"/>
      <w:lvlText w:val=""/>
      <w:lvlJc w:val="left"/>
      <w:pPr>
        <w:ind w:left="1444" w:hanging="360"/>
      </w:pPr>
      <w:rPr>
        <w:rFonts w:hint="default" w:ascii="Wingdings" w:hAnsi="Wingdings"/>
      </w:rPr>
    </w:lvl>
    <w:lvl w:ilvl="3" w:tplc="100A0001" w:tentative="1">
      <w:start w:val="1"/>
      <w:numFmt w:val="bullet"/>
      <w:lvlText w:val=""/>
      <w:lvlJc w:val="left"/>
      <w:pPr>
        <w:ind w:left="2164" w:hanging="360"/>
      </w:pPr>
      <w:rPr>
        <w:rFonts w:hint="default" w:ascii="Symbol" w:hAnsi="Symbol"/>
      </w:rPr>
    </w:lvl>
    <w:lvl w:ilvl="4" w:tplc="100A0003" w:tentative="1">
      <w:start w:val="1"/>
      <w:numFmt w:val="bullet"/>
      <w:lvlText w:val="o"/>
      <w:lvlJc w:val="left"/>
      <w:pPr>
        <w:ind w:left="2884" w:hanging="360"/>
      </w:pPr>
      <w:rPr>
        <w:rFonts w:hint="default" w:ascii="Courier New" w:hAnsi="Courier New" w:cs="Courier New"/>
      </w:rPr>
    </w:lvl>
    <w:lvl w:ilvl="5" w:tplc="100A0005" w:tentative="1">
      <w:start w:val="1"/>
      <w:numFmt w:val="bullet"/>
      <w:lvlText w:val=""/>
      <w:lvlJc w:val="left"/>
      <w:pPr>
        <w:ind w:left="3604" w:hanging="360"/>
      </w:pPr>
      <w:rPr>
        <w:rFonts w:hint="default" w:ascii="Wingdings" w:hAnsi="Wingdings"/>
      </w:rPr>
    </w:lvl>
    <w:lvl w:ilvl="6" w:tplc="100A0001" w:tentative="1">
      <w:start w:val="1"/>
      <w:numFmt w:val="bullet"/>
      <w:lvlText w:val=""/>
      <w:lvlJc w:val="left"/>
      <w:pPr>
        <w:ind w:left="4324" w:hanging="360"/>
      </w:pPr>
      <w:rPr>
        <w:rFonts w:hint="default" w:ascii="Symbol" w:hAnsi="Symbol"/>
      </w:rPr>
    </w:lvl>
    <w:lvl w:ilvl="7" w:tplc="100A0003" w:tentative="1">
      <w:start w:val="1"/>
      <w:numFmt w:val="bullet"/>
      <w:lvlText w:val="o"/>
      <w:lvlJc w:val="left"/>
      <w:pPr>
        <w:ind w:left="5044" w:hanging="360"/>
      </w:pPr>
      <w:rPr>
        <w:rFonts w:hint="default" w:ascii="Courier New" w:hAnsi="Courier New" w:cs="Courier New"/>
      </w:rPr>
    </w:lvl>
    <w:lvl w:ilvl="8" w:tplc="100A0005" w:tentative="1">
      <w:start w:val="1"/>
      <w:numFmt w:val="bullet"/>
      <w:lvlText w:val=""/>
      <w:lvlJc w:val="left"/>
      <w:pPr>
        <w:ind w:left="5764" w:hanging="360"/>
      </w:pPr>
      <w:rPr>
        <w:rFonts w:hint="default" w:ascii="Wingdings" w:hAnsi="Wingdings"/>
      </w:rPr>
    </w:lvl>
  </w:abstractNum>
  <w:num w:numId="1">
    <w:abstractNumId w:val="23"/>
  </w:num>
  <w:num w:numId="2">
    <w:abstractNumId w:val="14"/>
  </w:num>
  <w:num w:numId="3">
    <w:abstractNumId w:val="5"/>
  </w:num>
  <w:num w:numId="4">
    <w:abstractNumId w:val="11"/>
  </w:num>
  <w:num w:numId="5">
    <w:abstractNumId w:val="19"/>
  </w:num>
  <w:num w:numId="6">
    <w:abstractNumId w:val="30"/>
  </w:num>
  <w:num w:numId="7">
    <w:abstractNumId w:val="22"/>
  </w:num>
  <w:num w:numId="8">
    <w:abstractNumId w:val="17"/>
  </w:num>
  <w:num w:numId="9">
    <w:abstractNumId w:val="20"/>
  </w:num>
  <w:num w:numId="10">
    <w:abstractNumId w:val="0"/>
  </w:num>
  <w:num w:numId="11">
    <w:abstractNumId w:val="25"/>
  </w:num>
  <w:num w:numId="12">
    <w:abstractNumId w:val="12"/>
  </w:num>
  <w:num w:numId="13">
    <w:abstractNumId w:val="27"/>
  </w:num>
  <w:num w:numId="14">
    <w:abstractNumId w:val="2"/>
  </w:num>
  <w:num w:numId="15">
    <w:abstractNumId w:val="16"/>
  </w:num>
  <w:num w:numId="16">
    <w:abstractNumId w:val="10"/>
  </w:num>
  <w:num w:numId="17">
    <w:abstractNumId w:val="26"/>
  </w:num>
  <w:num w:numId="18">
    <w:abstractNumId w:val="8"/>
  </w:num>
  <w:num w:numId="19">
    <w:abstractNumId w:val="21"/>
  </w:num>
  <w:num w:numId="20">
    <w:abstractNumId w:val="31"/>
  </w:num>
  <w:num w:numId="21">
    <w:abstractNumId w:val="7"/>
  </w:num>
  <w:num w:numId="22">
    <w:abstractNumId w:val="32"/>
  </w:num>
  <w:num w:numId="23">
    <w:abstractNumId w:val="28"/>
  </w:num>
  <w:num w:numId="24">
    <w:abstractNumId w:val="13"/>
  </w:num>
  <w:num w:numId="25">
    <w:abstractNumId w:val="35"/>
  </w:num>
  <w:num w:numId="26">
    <w:abstractNumId w:val="34"/>
  </w:num>
  <w:num w:numId="27">
    <w:abstractNumId w:val="6"/>
  </w:num>
  <w:num w:numId="28">
    <w:abstractNumId w:val="29"/>
  </w:num>
  <w:num w:numId="29">
    <w:abstractNumId w:val="33"/>
  </w:num>
  <w:num w:numId="30">
    <w:abstractNumId w:val="15"/>
  </w:num>
  <w:num w:numId="31">
    <w:abstractNumId w:val="9"/>
  </w:num>
  <w:num w:numId="32">
    <w:abstractNumId w:val="36"/>
  </w:num>
  <w:num w:numId="33">
    <w:abstractNumId w:val="18"/>
  </w:num>
  <w:num w:numId="34">
    <w:abstractNumId w:val="1"/>
  </w:num>
  <w:num w:numId="35">
    <w:abstractNumId w:val="24"/>
  </w:num>
  <w:num w:numId="36">
    <w:abstractNumId w:val="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CF"/>
    <w:rsid w:val="000310E4"/>
    <w:rsid w:val="00036119"/>
    <w:rsid w:val="000538A4"/>
    <w:rsid w:val="00067B5B"/>
    <w:rsid w:val="000703A7"/>
    <w:rsid w:val="00081721"/>
    <w:rsid w:val="0008509A"/>
    <w:rsid w:val="00094100"/>
    <w:rsid w:val="000B1B4A"/>
    <w:rsid w:val="000B7D95"/>
    <w:rsid w:val="000C577D"/>
    <w:rsid w:val="000C5CE9"/>
    <w:rsid w:val="000D10FB"/>
    <w:rsid w:val="000D3DF8"/>
    <w:rsid w:val="001004D2"/>
    <w:rsid w:val="00132A6E"/>
    <w:rsid w:val="00136CBB"/>
    <w:rsid w:val="001426BC"/>
    <w:rsid w:val="00155C6B"/>
    <w:rsid w:val="0016566F"/>
    <w:rsid w:val="0018044D"/>
    <w:rsid w:val="00185473"/>
    <w:rsid w:val="001911BE"/>
    <w:rsid w:val="001922C6"/>
    <w:rsid w:val="00192B52"/>
    <w:rsid w:val="001B1D0A"/>
    <w:rsid w:val="001B3C6F"/>
    <w:rsid w:val="001B59FD"/>
    <w:rsid w:val="001C02E9"/>
    <w:rsid w:val="001D0136"/>
    <w:rsid w:val="001D210C"/>
    <w:rsid w:val="001D5C29"/>
    <w:rsid w:val="001F10B8"/>
    <w:rsid w:val="002072C9"/>
    <w:rsid w:val="00207609"/>
    <w:rsid w:val="002238E6"/>
    <w:rsid w:val="00261F93"/>
    <w:rsid w:val="00262BC9"/>
    <w:rsid w:val="00264CBD"/>
    <w:rsid w:val="00284E55"/>
    <w:rsid w:val="0028507C"/>
    <w:rsid w:val="00291297"/>
    <w:rsid w:val="0029185C"/>
    <w:rsid w:val="00294B8C"/>
    <w:rsid w:val="00297AE2"/>
    <w:rsid w:val="002B6D62"/>
    <w:rsid w:val="002C608E"/>
    <w:rsid w:val="002C6A6D"/>
    <w:rsid w:val="002D2603"/>
    <w:rsid w:val="002D6130"/>
    <w:rsid w:val="002E6A92"/>
    <w:rsid w:val="002F7EA7"/>
    <w:rsid w:val="00351856"/>
    <w:rsid w:val="003563D8"/>
    <w:rsid w:val="00360110"/>
    <w:rsid w:val="00362453"/>
    <w:rsid w:val="0038689B"/>
    <w:rsid w:val="00392754"/>
    <w:rsid w:val="00397BFA"/>
    <w:rsid w:val="003B65E4"/>
    <w:rsid w:val="003C26F0"/>
    <w:rsid w:val="003E3D97"/>
    <w:rsid w:val="003F698F"/>
    <w:rsid w:val="00400B24"/>
    <w:rsid w:val="00424199"/>
    <w:rsid w:val="004255EF"/>
    <w:rsid w:val="0042565F"/>
    <w:rsid w:val="0042697B"/>
    <w:rsid w:val="00437685"/>
    <w:rsid w:val="004414A6"/>
    <w:rsid w:val="004457E3"/>
    <w:rsid w:val="00454EEB"/>
    <w:rsid w:val="00460EBA"/>
    <w:rsid w:val="00487EF4"/>
    <w:rsid w:val="004B3FEA"/>
    <w:rsid w:val="004D0D65"/>
    <w:rsid w:val="004D34BE"/>
    <w:rsid w:val="005073D1"/>
    <w:rsid w:val="0050780D"/>
    <w:rsid w:val="005331F9"/>
    <w:rsid w:val="0054770D"/>
    <w:rsid w:val="0055191D"/>
    <w:rsid w:val="005665EE"/>
    <w:rsid w:val="00573555"/>
    <w:rsid w:val="00576043"/>
    <w:rsid w:val="00581795"/>
    <w:rsid w:val="0059281C"/>
    <w:rsid w:val="005A5226"/>
    <w:rsid w:val="005A558D"/>
    <w:rsid w:val="005B346F"/>
    <w:rsid w:val="005E702B"/>
    <w:rsid w:val="005E7275"/>
    <w:rsid w:val="005F4522"/>
    <w:rsid w:val="005F67D2"/>
    <w:rsid w:val="005F7DA2"/>
    <w:rsid w:val="00604F30"/>
    <w:rsid w:val="00610CB2"/>
    <w:rsid w:val="00625206"/>
    <w:rsid w:val="006306A4"/>
    <w:rsid w:val="006375BF"/>
    <w:rsid w:val="00640327"/>
    <w:rsid w:val="0065205D"/>
    <w:rsid w:val="00656289"/>
    <w:rsid w:val="00670027"/>
    <w:rsid w:val="0069284E"/>
    <w:rsid w:val="006A2203"/>
    <w:rsid w:val="006A5935"/>
    <w:rsid w:val="006C0738"/>
    <w:rsid w:val="006C07B8"/>
    <w:rsid w:val="006C2CE7"/>
    <w:rsid w:val="006D7CD1"/>
    <w:rsid w:val="006E4961"/>
    <w:rsid w:val="006E4F0C"/>
    <w:rsid w:val="00707E0B"/>
    <w:rsid w:val="00710D48"/>
    <w:rsid w:val="007225E1"/>
    <w:rsid w:val="0075121F"/>
    <w:rsid w:val="00757441"/>
    <w:rsid w:val="00773233"/>
    <w:rsid w:val="00773CD4"/>
    <w:rsid w:val="007A2694"/>
    <w:rsid w:val="007A4684"/>
    <w:rsid w:val="007E51C8"/>
    <w:rsid w:val="007F0F64"/>
    <w:rsid w:val="007F396B"/>
    <w:rsid w:val="008057D8"/>
    <w:rsid w:val="00817987"/>
    <w:rsid w:val="0083079A"/>
    <w:rsid w:val="0083100D"/>
    <w:rsid w:val="00831B60"/>
    <w:rsid w:val="0083772C"/>
    <w:rsid w:val="008429E9"/>
    <w:rsid w:val="00842E97"/>
    <w:rsid w:val="00843E6B"/>
    <w:rsid w:val="00850325"/>
    <w:rsid w:val="00851730"/>
    <w:rsid w:val="008575C2"/>
    <w:rsid w:val="00862FBA"/>
    <w:rsid w:val="00872C06"/>
    <w:rsid w:val="008A4223"/>
    <w:rsid w:val="008A5A50"/>
    <w:rsid w:val="008B3759"/>
    <w:rsid w:val="008B65F9"/>
    <w:rsid w:val="008B66AA"/>
    <w:rsid w:val="008D705F"/>
    <w:rsid w:val="0091707C"/>
    <w:rsid w:val="009237B6"/>
    <w:rsid w:val="00951E0C"/>
    <w:rsid w:val="009536C8"/>
    <w:rsid w:val="00972930"/>
    <w:rsid w:val="009754EB"/>
    <w:rsid w:val="009842D2"/>
    <w:rsid w:val="00984BC7"/>
    <w:rsid w:val="00984C61"/>
    <w:rsid w:val="009B5A8C"/>
    <w:rsid w:val="009B792D"/>
    <w:rsid w:val="009C7CED"/>
    <w:rsid w:val="009F5A2C"/>
    <w:rsid w:val="009F5EC2"/>
    <w:rsid w:val="00A12FC7"/>
    <w:rsid w:val="00A137F5"/>
    <w:rsid w:val="00A3228E"/>
    <w:rsid w:val="00A35570"/>
    <w:rsid w:val="00A6469C"/>
    <w:rsid w:val="00A73752"/>
    <w:rsid w:val="00A84D62"/>
    <w:rsid w:val="00AC18C4"/>
    <w:rsid w:val="00AC1A79"/>
    <w:rsid w:val="00AD4017"/>
    <w:rsid w:val="00AD56D2"/>
    <w:rsid w:val="00AE1308"/>
    <w:rsid w:val="00AF5AD3"/>
    <w:rsid w:val="00B0115E"/>
    <w:rsid w:val="00B01E58"/>
    <w:rsid w:val="00B049E1"/>
    <w:rsid w:val="00B101BB"/>
    <w:rsid w:val="00B174B2"/>
    <w:rsid w:val="00B2271A"/>
    <w:rsid w:val="00B550D6"/>
    <w:rsid w:val="00B75D20"/>
    <w:rsid w:val="00B82E83"/>
    <w:rsid w:val="00BB0D22"/>
    <w:rsid w:val="00BB1BCF"/>
    <w:rsid w:val="00BB2A3C"/>
    <w:rsid w:val="00BC7C07"/>
    <w:rsid w:val="00BF6048"/>
    <w:rsid w:val="00C020F0"/>
    <w:rsid w:val="00C063B0"/>
    <w:rsid w:val="00C20678"/>
    <w:rsid w:val="00C459EE"/>
    <w:rsid w:val="00C47AC3"/>
    <w:rsid w:val="00C5600E"/>
    <w:rsid w:val="00C84E9B"/>
    <w:rsid w:val="00C85DA5"/>
    <w:rsid w:val="00CC3FEF"/>
    <w:rsid w:val="00CD4547"/>
    <w:rsid w:val="00CE312F"/>
    <w:rsid w:val="00D15CC6"/>
    <w:rsid w:val="00D21822"/>
    <w:rsid w:val="00D33971"/>
    <w:rsid w:val="00D60838"/>
    <w:rsid w:val="00D61EFE"/>
    <w:rsid w:val="00D712E5"/>
    <w:rsid w:val="00DB2CF5"/>
    <w:rsid w:val="00DC3416"/>
    <w:rsid w:val="00DC620B"/>
    <w:rsid w:val="00DD0BCF"/>
    <w:rsid w:val="00DE2220"/>
    <w:rsid w:val="00DE3FC5"/>
    <w:rsid w:val="00E42518"/>
    <w:rsid w:val="00E5238F"/>
    <w:rsid w:val="00E534C6"/>
    <w:rsid w:val="00E63943"/>
    <w:rsid w:val="00E648D5"/>
    <w:rsid w:val="00E64912"/>
    <w:rsid w:val="00E764BD"/>
    <w:rsid w:val="00E8544C"/>
    <w:rsid w:val="00EA3A1B"/>
    <w:rsid w:val="00EA6BAF"/>
    <w:rsid w:val="00EB19B9"/>
    <w:rsid w:val="00EE6616"/>
    <w:rsid w:val="00EF1CDE"/>
    <w:rsid w:val="00F05690"/>
    <w:rsid w:val="00F26A8C"/>
    <w:rsid w:val="00F42F4D"/>
    <w:rsid w:val="00F6106A"/>
    <w:rsid w:val="00F779A1"/>
    <w:rsid w:val="00F937AF"/>
    <w:rsid w:val="00FB047A"/>
    <w:rsid w:val="00FC7D9F"/>
    <w:rsid w:val="00FD4829"/>
    <w:rsid w:val="00FF0180"/>
    <w:rsid w:val="00FF0F49"/>
    <w:rsid w:val="00FF2382"/>
    <w:rsid w:val="00FF4138"/>
    <w:rsid w:val="00FF6BA9"/>
    <w:rsid w:val="2257A5A8"/>
    <w:rsid w:val="2300FC67"/>
    <w:rsid w:val="4A165DB5"/>
    <w:rsid w:val="5B866C0D"/>
    <w:rsid w:val="5DAC0B5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29C93"/>
  <w15:chartTrackingRefBased/>
  <w15:docId w15:val="{FF9247EB-9902-4270-834D-D565E1A3E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1B59F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6106A"/>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link w:val="Ttulo3Car"/>
    <w:uiPriority w:val="9"/>
    <w:unhideWhenUsed/>
    <w:qFormat/>
    <w:rsid w:val="00610CB2"/>
    <w:pPr>
      <w:widowControl w:val="0"/>
      <w:spacing w:after="0" w:line="240" w:lineRule="auto"/>
      <w:ind w:left="536" w:hanging="360"/>
      <w:outlineLvl w:val="2"/>
    </w:pPr>
    <w:rPr>
      <w:rFonts w:ascii="Verdana" w:hAnsi="Verdana" w:eastAsia="Verdana"/>
      <w:b/>
      <w:bCs/>
      <w:sz w:val="20"/>
      <w:szCs w:val="20"/>
      <w:u w:val="single"/>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inespaciado">
    <w:name w:val="No Spacing"/>
    <w:uiPriority w:val="1"/>
    <w:qFormat/>
    <w:rsid w:val="00BB1BCF"/>
    <w:pPr>
      <w:spacing w:after="0" w:line="240" w:lineRule="auto"/>
    </w:pPr>
  </w:style>
  <w:style w:type="paragraph" w:styleId="Prrafodelista">
    <w:name w:val="List Paragraph"/>
    <w:basedOn w:val="Normal"/>
    <w:uiPriority w:val="34"/>
    <w:qFormat/>
    <w:rsid w:val="00670027"/>
    <w:pPr>
      <w:ind w:left="720"/>
      <w:contextualSpacing/>
    </w:pPr>
  </w:style>
  <w:style w:type="paragraph" w:styleId="Encabezado">
    <w:name w:val="header"/>
    <w:basedOn w:val="Normal"/>
    <w:link w:val="EncabezadoCar"/>
    <w:uiPriority w:val="99"/>
    <w:unhideWhenUsed/>
    <w:rsid w:val="0097293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72930"/>
  </w:style>
  <w:style w:type="paragraph" w:styleId="Piedepgina">
    <w:name w:val="footer"/>
    <w:basedOn w:val="Normal"/>
    <w:link w:val="PiedepginaCar"/>
    <w:uiPriority w:val="99"/>
    <w:unhideWhenUsed/>
    <w:rsid w:val="0097293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72930"/>
  </w:style>
  <w:style w:type="paragraph" w:styleId="Textodeglobo">
    <w:name w:val="Balloon Text"/>
    <w:basedOn w:val="Normal"/>
    <w:link w:val="TextodegloboCar"/>
    <w:uiPriority w:val="99"/>
    <w:semiHidden/>
    <w:unhideWhenUsed/>
    <w:rsid w:val="006C2CE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C2CE7"/>
    <w:rPr>
      <w:rFonts w:ascii="Segoe UI" w:hAnsi="Segoe UI" w:cs="Segoe UI"/>
      <w:sz w:val="18"/>
      <w:szCs w:val="18"/>
    </w:rPr>
  </w:style>
  <w:style w:type="character" w:styleId="Ttulo3Car" w:customStyle="1">
    <w:name w:val="Título 3 Car"/>
    <w:basedOn w:val="Fuentedeprrafopredeter"/>
    <w:link w:val="Ttulo3"/>
    <w:uiPriority w:val="9"/>
    <w:rsid w:val="00610CB2"/>
    <w:rPr>
      <w:rFonts w:ascii="Verdana" w:hAnsi="Verdana" w:eastAsia="Verdana"/>
      <w:b/>
      <w:bCs/>
      <w:sz w:val="20"/>
      <w:szCs w:val="20"/>
      <w:u w:val="single"/>
      <w:lang w:val="en-US"/>
    </w:rPr>
  </w:style>
  <w:style w:type="paragraph" w:styleId="Textoindependiente">
    <w:name w:val="Body Text"/>
    <w:basedOn w:val="Normal"/>
    <w:link w:val="TextoindependienteCar"/>
    <w:uiPriority w:val="1"/>
    <w:qFormat/>
    <w:rsid w:val="00610CB2"/>
    <w:pPr>
      <w:widowControl w:val="0"/>
      <w:spacing w:after="0" w:line="240" w:lineRule="auto"/>
      <w:ind w:left="536" w:hanging="432"/>
    </w:pPr>
    <w:rPr>
      <w:rFonts w:ascii="Verdana" w:hAnsi="Verdana" w:eastAsia="Verdana"/>
      <w:sz w:val="20"/>
      <w:szCs w:val="20"/>
      <w:lang w:val="en-US"/>
    </w:rPr>
  </w:style>
  <w:style w:type="character" w:styleId="TextoindependienteCar" w:customStyle="1">
    <w:name w:val="Texto independiente Car"/>
    <w:basedOn w:val="Fuentedeprrafopredeter"/>
    <w:link w:val="Textoindependiente"/>
    <w:uiPriority w:val="1"/>
    <w:rsid w:val="00610CB2"/>
    <w:rPr>
      <w:rFonts w:ascii="Verdana" w:hAnsi="Verdana" w:eastAsia="Verdana"/>
      <w:sz w:val="20"/>
      <w:szCs w:val="20"/>
      <w:lang w:val="en-US"/>
    </w:rPr>
  </w:style>
  <w:style w:type="paragraph" w:styleId="paragraph" w:customStyle="1">
    <w:name w:val="paragraph"/>
    <w:basedOn w:val="Normal"/>
    <w:rsid w:val="005B346F"/>
    <w:pPr>
      <w:spacing w:before="100" w:beforeAutospacing="1" w:after="100" w:afterAutospacing="1" w:line="240" w:lineRule="auto"/>
    </w:pPr>
    <w:rPr>
      <w:rFonts w:ascii="Times New Roman" w:hAnsi="Times New Roman" w:eastAsia="Times New Roman" w:cs="Times New Roman"/>
      <w:sz w:val="24"/>
      <w:szCs w:val="24"/>
      <w:lang w:eastAsia="es-GT"/>
    </w:rPr>
  </w:style>
  <w:style w:type="character" w:styleId="normaltextrun" w:customStyle="1">
    <w:name w:val="normaltextrun"/>
    <w:basedOn w:val="Fuentedeprrafopredeter"/>
    <w:rsid w:val="005B346F"/>
  </w:style>
  <w:style w:type="character" w:styleId="eop" w:customStyle="1">
    <w:name w:val="eop"/>
    <w:basedOn w:val="Fuentedeprrafopredeter"/>
    <w:rsid w:val="005B346F"/>
  </w:style>
  <w:style w:type="paragraph" w:styleId="NormalWeb">
    <w:name w:val="Normal (Web)"/>
    <w:basedOn w:val="Normal"/>
    <w:uiPriority w:val="99"/>
    <w:unhideWhenUsed/>
    <w:rsid w:val="005B346F"/>
    <w:pPr>
      <w:spacing w:before="100" w:beforeAutospacing="1" w:after="100" w:afterAutospacing="1" w:line="240" w:lineRule="auto"/>
    </w:pPr>
    <w:rPr>
      <w:rFonts w:ascii="Times New Roman" w:hAnsi="Times New Roman" w:eastAsia="Times New Roman" w:cs="Times New Roman"/>
      <w:sz w:val="24"/>
      <w:szCs w:val="24"/>
      <w:lang w:eastAsia="es-GT"/>
    </w:rPr>
  </w:style>
  <w:style w:type="paragraph" w:styleId="Textocomentario">
    <w:name w:val="annotation text"/>
    <w:basedOn w:val="Normal"/>
    <w:link w:val="TextocomentarioCar"/>
    <w:uiPriority w:val="99"/>
    <w:semiHidden/>
    <w:unhideWhenUsed/>
    <w:rsid w:val="005B346F"/>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B346F"/>
    <w:rPr>
      <w:sz w:val="20"/>
      <w:szCs w:val="20"/>
    </w:rPr>
  </w:style>
  <w:style w:type="paragraph" w:styleId="Asuntodelcomentario">
    <w:name w:val="annotation subject"/>
    <w:basedOn w:val="Textocomentario"/>
    <w:next w:val="Textocomentario"/>
    <w:link w:val="AsuntodelcomentarioCar"/>
    <w:uiPriority w:val="99"/>
    <w:semiHidden/>
    <w:unhideWhenUsed/>
    <w:rsid w:val="005B346F"/>
    <w:pPr>
      <w:spacing w:after="0"/>
    </w:pPr>
    <w:rPr>
      <w:b/>
      <w:bCs/>
      <w:lang w:val="es-ES_tradnl"/>
    </w:rPr>
  </w:style>
  <w:style w:type="character" w:styleId="AsuntodelcomentarioCar" w:customStyle="1">
    <w:name w:val="Asunto del comentario Car"/>
    <w:basedOn w:val="TextocomentarioCar"/>
    <w:link w:val="Asuntodelcomentario"/>
    <w:uiPriority w:val="99"/>
    <w:semiHidden/>
    <w:rsid w:val="005B346F"/>
    <w:rPr>
      <w:b/>
      <w:bCs/>
      <w:sz w:val="20"/>
      <w:szCs w:val="20"/>
      <w:lang w:val="es-ES_tradnl"/>
    </w:rPr>
  </w:style>
  <w:style w:type="paragraph" w:styleId="04xlpa" w:customStyle="1">
    <w:name w:val="_04xlpa"/>
    <w:basedOn w:val="Normal"/>
    <w:rsid w:val="00B2271A"/>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Hipervnculo">
    <w:name w:val="Hyperlink"/>
    <w:basedOn w:val="Fuentedeprrafopredeter"/>
    <w:uiPriority w:val="99"/>
    <w:unhideWhenUsed/>
    <w:rsid w:val="00B2271A"/>
    <w:rPr>
      <w:color w:val="0000FF"/>
      <w:u w:val="single"/>
    </w:rPr>
  </w:style>
  <w:style w:type="character" w:styleId="Ttulo1Car" w:customStyle="1">
    <w:name w:val="Título 1 Car"/>
    <w:basedOn w:val="Fuentedeprrafopredeter"/>
    <w:link w:val="Ttulo1"/>
    <w:uiPriority w:val="9"/>
    <w:rsid w:val="001B59FD"/>
    <w:rPr>
      <w:rFonts w:asciiTheme="majorHAnsi" w:hAnsiTheme="majorHAnsi" w:eastAsiaTheme="majorEastAsia" w:cstheme="majorBidi"/>
      <w:color w:val="2F5496" w:themeColor="accent1" w:themeShade="BF"/>
      <w:sz w:val="32"/>
      <w:szCs w:val="32"/>
    </w:rPr>
  </w:style>
  <w:style w:type="character" w:styleId="Refdecomentario">
    <w:name w:val="annotation reference"/>
    <w:basedOn w:val="Fuentedeprrafopredeter"/>
    <w:uiPriority w:val="99"/>
    <w:semiHidden/>
    <w:unhideWhenUsed/>
    <w:rsid w:val="006E4F0C"/>
    <w:rPr>
      <w:sz w:val="16"/>
      <w:szCs w:val="16"/>
    </w:rPr>
  </w:style>
  <w:style w:type="character" w:styleId="Ttulo2Car" w:customStyle="1">
    <w:name w:val="Título 2 Car"/>
    <w:basedOn w:val="Fuentedeprrafopredeter"/>
    <w:link w:val="Ttulo2"/>
    <w:uiPriority w:val="9"/>
    <w:semiHidden/>
    <w:rsid w:val="00F6106A"/>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82037">
      <w:bodyDiv w:val="1"/>
      <w:marLeft w:val="0"/>
      <w:marRight w:val="0"/>
      <w:marTop w:val="0"/>
      <w:marBottom w:val="0"/>
      <w:divBdr>
        <w:top w:val="none" w:sz="0" w:space="0" w:color="auto"/>
        <w:left w:val="none" w:sz="0" w:space="0" w:color="auto"/>
        <w:bottom w:val="none" w:sz="0" w:space="0" w:color="auto"/>
        <w:right w:val="none" w:sz="0" w:space="0" w:color="auto"/>
      </w:divBdr>
      <w:divsChild>
        <w:div w:id="761729231">
          <w:marLeft w:val="0"/>
          <w:marRight w:val="0"/>
          <w:marTop w:val="0"/>
          <w:marBottom w:val="0"/>
          <w:divBdr>
            <w:top w:val="none" w:sz="0" w:space="0" w:color="auto"/>
            <w:left w:val="none" w:sz="0" w:space="0" w:color="auto"/>
            <w:bottom w:val="none" w:sz="0" w:space="0" w:color="auto"/>
            <w:right w:val="none" w:sz="0" w:space="0" w:color="auto"/>
          </w:divBdr>
        </w:div>
        <w:div w:id="1851217644">
          <w:marLeft w:val="0"/>
          <w:marRight w:val="0"/>
          <w:marTop w:val="0"/>
          <w:marBottom w:val="0"/>
          <w:divBdr>
            <w:top w:val="none" w:sz="0" w:space="0" w:color="auto"/>
            <w:left w:val="none" w:sz="0" w:space="0" w:color="auto"/>
            <w:bottom w:val="none" w:sz="0" w:space="0" w:color="auto"/>
            <w:right w:val="none" w:sz="0" w:space="0" w:color="auto"/>
          </w:divBdr>
        </w:div>
        <w:div w:id="943656891">
          <w:marLeft w:val="0"/>
          <w:marRight w:val="0"/>
          <w:marTop w:val="0"/>
          <w:marBottom w:val="0"/>
          <w:divBdr>
            <w:top w:val="none" w:sz="0" w:space="0" w:color="auto"/>
            <w:left w:val="none" w:sz="0" w:space="0" w:color="auto"/>
            <w:bottom w:val="none" w:sz="0" w:space="0" w:color="auto"/>
            <w:right w:val="none" w:sz="0" w:space="0" w:color="auto"/>
          </w:divBdr>
        </w:div>
        <w:div w:id="251790372">
          <w:marLeft w:val="0"/>
          <w:marRight w:val="0"/>
          <w:marTop w:val="0"/>
          <w:marBottom w:val="0"/>
          <w:divBdr>
            <w:top w:val="none" w:sz="0" w:space="0" w:color="auto"/>
            <w:left w:val="none" w:sz="0" w:space="0" w:color="auto"/>
            <w:bottom w:val="none" w:sz="0" w:space="0" w:color="auto"/>
            <w:right w:val="none" w:sz="0" w:space="0" w:color="auto"/>
          </w:divBdr>
        </w:div>
        <w:div w:id="1414090029">
          <w:marLeft w:val="0"/>
          <w:marRight w:val="0"/>
          <w:marTop w:val="0"/>
          <w:marBottom w:val="0"/>
          <w:divBdr>
            <w:top w:val="none" w:sz="0" w:space="0" w:color="auto"/>
            <w:left w:val="none" w:sz="0" w:space="0" w:color="auto"/>
            <w:bottom w:val="none" w:sz="0" w:space="0" w:color="auto"/>
            <w:right w:val="none" w:sz="0" w:space="0" w:color="auto"/>
          </w:divBdr>
        </w:div>
        <w:div w:id="1642999131">
          <w:marLeft w:val="0"/>
          <w:marRight w:val="0"/>
          <w:marTop w:val="0"/>
          <w:marBottom w:val="0"/>
          <w:divBdr>
            <w:top w:val="none" w:sz="0" w:space="0" w:color="auto"/>
            <w:left w:val="none" w:sz="0" w:space="0" w:color="auto"/>
            <w:bottom w:val="none" w:sz="0" w:space="0" w:color="auto"/>
            <w:right w:val="none" w:sz="0" w:space="0" w:color="auto"/>
          </w:divBdr>
        </w:div>
        <w:div w:id="470051848">
          <w:marLeft w:val="0"/>
          <w:marRight w:val="0"/>
          <w:marTop w:val="0"/>
          <w:marBottom w:val="0"/>
          <w:divBdr>
            <w:top w:val="none" w:sz="0" w:space="0" w:color="auto"/>
            <w:left w:val="none" w:sz="0" w:space="0" w:color="auto"/>
            <w:bottom w:val="none" w:sz="0" w:space="0" w:color="auto"/>
            <w:right w:val="none" w:sz="0" w:space="0" w:color="auto"/>
          </w:divBdr>
        </w:div>
      </w:divsChild>
    </w:div>
    <w:div w:id="200872559">
      <w:bodyDiv w:val="1"/>
      <w:marLeft w:val="0"/>
      <w:marRight w:val="0"/>
      <w:marTop w:val="0"/>
      <w:marBottom w:val="0"/>
      <w:divBdr>
        <w:top w:val="none" w:sz="0" w:space="0" w:color="auto"/>
        <w:left w:val="none" w:sz="0" w:space="0" w:color="auto"/>
        <w:bottom w:val="none" w:sz="0" w:space="0" w:color="auto"/>
        <w:right w:val="none" w:sz="0" w:space="0" w:color="auto"/>
      </w:divBdr>
    </w:div>
    <w:div w:id="461771636">
      <w:bodyDiv w:val="1"/>
      <w:marLeft w:val="0"/>
      <w:marRight w:val="0"/>
      <w:marTop w:val="0"/>
      <w:marBottom w:val="0"/>
      <w:divBdr>
        <w:top w:val="none" w:sz="0" w:space="0" w:color="auto"/>
        <w:left w:val="none" w:sz="0" w:space="0" w:color="auto"/>
        <w:bottom w:val="none" w:sz="0" w:space="0" w:color="auto"/>
        <w:right w:val="none" w:sz="0" w:space="0" w:color="auto"/>
      </w:divBdr>
    </w:div>
    <w:div w:id="614599530">
      <w:bodyDiv w:val="1"/>
      <w:marLeft w:val="0"/>
      <w:marRight w:val="0"/>
      <w:marTop w:val="0"/>
      <w:marBottom w:val="0"/>
      <w:divBdr>
        <w:top w:val="none" w:sz="0" w:space="0" w:color="auto"/>
        <w:left w:val="none" w:sz="0" w:space="0" w:color="auto"/>
        <w:bottom w:val="none" w:sz="0" w:space="0" w:color="auto"/>
        <w:right w:val="none" w:sz="0" w:space="0" w:color="auto"/>
      </w:divBdr>
    </w:div>
    <w:div w:id="616788813">
      <w:bodyDiv w:val="1"/>
      <w:marLeft w:val="0"/>
      <w:marRight w:val="0"/>
      <w:marTop w:val="0"/>
      <w:marBottom w:val="0"/>
      <w:divBdr>
        <w:top w:val="none" w:sz="0" w:space="0" w:color="auto"/>
        <w:left w:val="none" w:sz="0" w:space="0" w:color="auto"/>
        <w:bottom w:val="none" w:sz="0" w:space="0" w:color="auto"/>
        <w:right w:val="none" w:sz="0" w:space="0" w:color="auto"/>
      </w:divBdr>
      <w:divsChild>
        <w:div w:id="1589776796">
          <w:marLeft w:val="0"/>
          <w:marRight w:val="0"/>
          <w:marTop w:val="0"/>
          <w:marBottom w:val="0"/>
          <w:divBdr>
            <w:top w:val="none" w:sz="0" w:space="0" w:color="auto"/>
            <w:left w:val="none" w:sz="0" w:space="0" w:color="auto"/>
            <w:bottom w:val="none" w:sz="0" w:space="0" w:color="auto"/>
            <w:right w:val="none" w:sz="0" w:space="0" w:color="auto"/>
          </w:divBdr>
        </w:div>
      </w:divsChild>
    </w:div>
    <w:div w:id="770777525">
      <w:bodyDiv w:val="1"/>
      <w:marLeft w:val="0"/>
      <w:marRight w:val="0"/>
      <w:marTop w:val="0"/>
      <w:marBottom w:val="0"/>
      <w:divBdr>
        <w:top w:val="none" w:sz="0" w:space="0" w:color="auto"/>
        <w:left w:val="none" w:sz="0" w:space="0" w:color="auto"/>
        <w:bottom w:val="none" w:sz="0" w:space="0" w:color="auto"/>
        <w:right w:val="none" w:sz="0" w:space="0" w:color="auto"/>
      </w:divBdr>
      <w:divsChild>
        <w:div w:id="22096535">
          <w:marLeft w:val="0"/>
          <w:marRight w:val="0"/>
          <w:marTop w:val="0"/>
          <w:marBottom w:val="0"/>
          <w:divBdr>
            <w:top w:val="none" w:sz="0" w:space="0" w:color="auto"/>
            <w:left w:val="none" w:sz="0" w:space="0" w:color="auto"/>
            <w:bottom w:val="none" w:sz="0" w:space="0" w:color="auto"/>
            <w:right w:val="none" w:sz="0" w:space="0" w:color="auto"/>
          </w:divBdr>
          <w:divsChild>
            <w:div w:id="1014770571">
              <w:marLeft w:val="0"/>
              <w:marRight w:val="0"/>
              <w:marTop w:val="0"/>
              <w:marBottom w:val="0"/>
              <w:divBdr>
                <w:top w:val="none" w:sz="0" w:space="0" w:color="auto"/>
                <w:left w:val="none" w:sz="0" w:space="0" w:color="auto"/>
                <w:bottom w:val="none" w:sz="0" w:space="0" w:color="auto"/>
                <w:right w:val="none" w:sz="0" w:space="0" w:color="auto"/>
              </w:divBdr>
            </w:div>
          </w:divsChild>
        </w:div>
        <w:div w:id="1020279400">
          <w:marLeft w:val="0"/>
          <w:marRight w:val="0"/>
          <w:marTop w:val="120"/>
          <w:marBottom w:val="0"/>
          <w:divBdr>
            <w:top w:val="none" w:sz="0" w:space="0" w:color="auto"/>
            <w:left w:val="none" w:sz="0" w:space="0" w:color="auto"/>
            <w:bottom w:val="none" w:sz="0" w:space="0" w:color="auto"/>
            <w:right w:val="none" w:sz="0" w:space="0" w:color="auto"/>
          </w:divBdr>
          <w:divsChild>
            <w:div w:id="1695964215">
              <w:marLeft w:val="0"/>
              <w:marRight w:val="0"/>
              <w:marTop w:val="0"/>
              <w:marBottom w:val="0"/>
              <w:divBdr>
                <w:top w:val="none" w:sz="0" w:space="0" w:color="auto"/>
                <w:left w:val="none" w:sz="0" w:space="0" w:color="auto"/>
                <w:bottom w:val="none" w:sz="0" w:space="0" w:color="auto"/>
                <w:right w:val="none" w:sz="0" w:space="0" w:color="auto"/>
              </w:divBdr>
              <w:divsChild>
                <w:div w:id="9108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6186">
          <w:marLeft w:val="0"/>
          <w:marRight w:val="0"/>
          <w:marTop w:val="120"/>
          <w:marBottom w:val="0"/>
          <w:divBdr>
            <w:top w:val="none" w:sz="0" w:space="0" w:color="auto"/>
            <w:left w:val="none" w:sz="0" w:space="0" w:color="auto"/>
            <w:bottom w:val="none" w:sz="0" w:space="0" w:color="auto"/>
            <w:right w:val="none" w:sz="0" w:space="0" w:color="auto"/>
          </w:divBdr>
          <w:divsChild>
            <w:div w:id="842428586">
              <w:marLeft w:val="0"/>
              <w:marRight w:val="0"/>
              <w:marTop w:val="0"/>
              <w:marBottom w:val="0"/>
              <w:divBdr>
                <w:top w:val="none" w:sz="0" w:space="0" w:color="auto"/>
                <w:left w:val="none" w:sz="0" w:space="0" w:color="auto"/>
                <w:bottom w:val="none" w:sz="0" w:space="0" w:color="auto"/>
                <w:right w:val="none" w:sz="0" w:space="0" w:color="auto"/>
              </w:divBdr>
            </w:div>
          </w:divsChild>
        </w:div>
        <w:div w:id="1200825478">
          <w:marLeft w:val="0"/>
          <w:marRight w:val="0"/>
          <w:marTop w:val="120"/>
          <w:marBottom w:val="0"/>
          <w:divBdr>
            <w:top w:val="none" w:sz="0" w:space="0" w:color="auto"/>
            <w:left w:val="none" w:sz="0" w:space="0" w:color="auto"/>
            <w:bottom w:val="none" w:sz="0" w:space="0" w:color="auto"/>
            <w:right w:val="none" w:sz="0" w:space="0" w:color="auto"/>
          </w:divBdr>
          <w:divsChild>
            <w:div w:id="1024551008">
              <w:marLeft w:val="0"/>
              <w:marRight w:val="0"/>
              <w:marTop w:val="0"/>
              <w:marBottom w:val="0"/>
              <w:divBdr>
                <w:top w:val="none" w:sz="0" w:space="0" w:color="auto"/>
                <w:left w:val="none" w:sz="0" w:space="0" w:color="auto"/>
                <w:bottom w:val="none" w:sz="0" w:space="0" w:color="auto"/>
                <w:right w:val="none" w:sz="0" w:space="0" w:color="auto"/>
              </w:divBdr>
            </w:div>
          </w:divsChild>
        </w:div>
        <w:div w:id="1451901067">
          <w:marLeft w:val="0"/>
          <w:marRight w:val="0"/>
          <w:marTop w:val="120"/>
          <w:marBottom w:val="0"/>
          <w:divBdr>
            <w:top w:val="none" w:sz="0" w:space="0" w:color="auto"/>
            <w:left w:val="none" w:sz="0" w:space="0" w:color="auto"/>
            <w:bottom w:val="none" w:sz="0" w:space="0" w:color="auto"/>
            <w:right w:val="none" w:sz="0" w:space="0" w:color="auto"/>
          </w:divBdr>
          <w:divsChild>
            <w:div w:id="7438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62560">
      <w:bodyDiv w:val="1"/>
      <w:marLeft w:val="0"/>
      <w:marRight w:val="0"/>
      <w:marTop w:val="0"/>
      <w:marBottom w:val="0"/>
      <w:divBdr>
        <w:top w:val="none" w:sz="0" w:space="0" w:color="auto"/>
        <w:left w:val="none" w:sz="0" w:space="0" w:color="auto"/>
        <w:bottom w:val="none" w:sz="0" w:space="0" w:color="auto"/>
        <w:right w:val="none" w:sz="0" w:space="0" w:color="auto"/>
      </w:divBdr>
    </w:div>
    <w:div w:id="875435597">
      <w:bodyDiv w:val="1"/>
      <w:marLeft w:val="0"/>
      <w:marRight w:val="0"/>
      <w:marTop w:val="0"/>
      <w:marBottom w:val="0"/>
      <w:divBdr>
        <w:top w:val="none" w:sz="0" w:space="0" w:color="auto"/>
        <w:left w:val="none" w:sz="0" w:space="0" w:color="auto"/>
        <w:bottom w:val="none" w:sz="0" w:space="0" w:color="auto"/>
        <w:right w:val="none" w:sz="0" w:space="0" w:color="auto"/>
      </w:divBdr>
    </w:div>
    <w:div w:id="883759227">
      <w:bodyDiv w:val="1"/>
      <w:marLeft w:val="0"/>
      <w:marRight w:val="0"/>
      <w:marTop w:val="0"/>
      <w:marBottom w:val="0"/>
      <w:divBdr>
        <w:top w:val="none" w:sz="0" w:space="0" w:color="auto"/>
        <w:left w:val="none" w:sz="0" w:space="0" w:color="auto"/>
        <w:bottom w:val="none" w:sz="0" w:space="0" w:color="auto"/>
        <w:right w:val="none" w:sz="0" w:space="0" w:color="auto"/>
      </w:divBdr>
      <w:divsChild>
        <w:div w:id="1853452485">
          <w:marLeft w:val="0"/>
          <w:marRight w:val="0"/>
          <w:marTop w:val="0"/>
          <w:marBottom w:val="0"/>
          <w:divBdr>
            <w:top w:val="none" w:sz="0" w:space="0" w:color="auto"/>
            <w:left w:val="none" w:sz="0" w:space="0" w:color="auto"/>
            <w:bottom w:val="none" w:sz="0" w:space="0" w:color="auto"/>
            <w:right w:val="none" w:sz="0" w:space="0" w:color="auto"/>
          </w:divBdr>
        </w:div>
        <w:div w:id="1793013468">
          <w:marLeft w:val="0"/>
          <w:marRight w:val="0"/>
          <w:marTop w:val="0"/>
          <w:marBottom w:val="0"/>
          <w:divBdr>
            <w:top w:val="none" w:sz="0" w:space="0" w:color="auto"/>
            <w:left w:val="none" w:sz="0" w:space="0" w:color="auto"/>
            <w:bottom w:val="none" w:sz="0" w:space="0" w:color="auto"/>
            <w:right w:val="none" w:sz="0" w:space="0" w:color="auto"/>
          </w:divBdr>
        </w:div>
        <w:div w:id="881593903">
          <w:marLeft w:val="0"/>
          <w:marRight w:val="0"/>
          <w:marTop w:val="0"/>
          <w:marBottom w:val="0"/>
          <w:divBdr>
            <w:top w:val="none" w:sz="0" w:space="0" w:color="auto"/>
            <w:left w:val="none" w:sz="0" w:space="0" w:color="auto"/>
            <w:bottom w:val="none" w:sz="0" w:space="0" w:color="auto"/>
            <w:right w:val="none" w:sz="0" w:space="0" w:color="auto"/>
          </w:divBdr>
        </w:div>
        <w:div w:id="632322229">
          <w:marLeft w:val="0"/>
          <w:marRight w:val="0"/>
          <w:marTop w:val="0"/>
          <w:marBottom w:val="0"/>
          <w:divBdr>
            <w:top w:val="none" w:sz="0" w:space="0" w:color="auto"/>
            <w:left w:val="none" w:sz="0" w:space="0" w:color="auto"/>
            <w:bottom w:val="none" w:sz="0" w:space="0" w:color="auto"/>
            <w:right w:val="none" w:sz="0" w:space="0" w:color="auto"/>
          </w:divBdr>
        </w:div>
        <w:div w:id="1973290519">
          <w:marLeft w:val="0"/>
          <w:marRight w:val="0"/>
          <w:marTop w:val="0"/>
          <w:marBottom w:val="0"/>
          <w:divBdr>
            <w:top w:val="none" w:sz="0" w:space="0" w:color="auto"/>
            <w:left w:val="none" w:sz="0" w:space="0" w:color="auto"/>
            <w:bottom w:val="none" w:sz="0" w:space="0" w:color="auto"/>
            <w:right w:val="none" w:sz="0" w:space="0" w:color="auto"/>
          </w:divBdr>
        </w:div>
        <w:div w:id="555624449">
          <w:marLeft w:val="0"/>
          <w:marRight w:val="0"/>
          <w:marTop w:val="0"/>
          <w:marBottom w:val="0"/>
          <w:divBdr>
            <w:top w:val="none" w:sz="0" w:space="0" w:color="auto"/>
            <w:left w:val="none" w:sz="0" w:space="0" w:color="auto"/>
            <w:bottom w:val="none" w:sz="0" w:space="0" w:color="auto"/>
            <w:right w:val="none" w:sz="0" w:space="0" w:color="auto"/>
          </w:divBdr>
        </w:div>
        <w:div w:id="1420835295">
          <w:marLeft w:val="0"/>
          <w:marRight w:val="0"/>
          <w:marTop w:val="0"/>
          <w:marBottom w:val="0"/>
          <w:divBdr>
            <w:top w:val="none" w:sz="0" w:space="0" w:color="auto"/>
            <w:left w:val="none" w:sz="0" w:space="0" w:color="auto"/>
            <w:bottom w:val="none" w:sz="0" w:space="0" w:color="auto"/>
            <w:right w:val="none" w:sz="0" w:space="0" w:color="auto"/>
          </w:divBdr>
        </w:div>
        <w:div w:id="985204443">
          <w:marLeft w:val="0"/>
          <w:marRight w:val="0"/>
          <w:marTop w:val="0"/>
          <w:marBottom w:val="0"/>
          <w:divBdr>
            <w:top w:val="none" w:sz="0" w:space="0" w:color="auto"/>
            <w:left w:val="none" w:sz="0" w:space="0" w:color="auto"/>
            <w:bottom w:val="none" w:sz="0" w:space="0" w:color="auto"/>
            <w:right w:val="none" w:sz="0" w:space="0" w:color="auto"/>
          </w:divBdr>
        </w:div>
        <w:div w:id="1048811">
          <w:marLeft w:val="0"/>
          <w:marRight w:val="0"/>
          <w:marTop w:val="0"/>
          <w:marBottom w:val="0"/>
          <w:divBdr>
            <w:top w:val="none" w:sz="0" w:space="0" w:color="auto"/>
            <w:left w:val="none" w:sz="0" w:space="0" w:color="auto"/>
            <w:bottom w:val="none" w:sz="0" w:space="0" w:color="auto"/>
            <w:right w:val="none" w:sz="0" w:space="0" w:color="auto"/>
          </w:divBdr>
        </w:div>
      </w:divsChild>
    </w:div>
    <w:div w:id="1017079914">
      <w:bodyDiv w:val="1"/>
      <w:marLeft w:val="0"/>
      <w:marRight w:val="0"/>
      <w:marTop w:val="0"/>
      <w:marBottom w:val="0"/>
      <w:divBdr>
        <w:top w:val="none" w:sz="0" w:space="0" w:color="auto"/>
        <w:left w:val="none" w:sz="0" w:space="0" w:color="auto"/>
        <w:bottom w:val="none" w:sz="0" w:space="0" w:color="auto"/>
        <w:right w:val="none" w:sz="0" w:space="0" w:color="auto"/>
      </w:divBdr>
    </w:div>
    <w:div w:id="1372803012">
      <w:bodyDiv w:val="1"/>
      <w:marLeft w:val="0"/>
      <w:marRight w:val="0"/>
      <w:marTop w:val="0"/>
      <w:marBottom w:val="0"/>
      <w:divBdr>
        <w:top w:val="none" w:sz="0" w:space="0" w:color="auto"/>
        <w:left w:val="none" w:sz="0" w:space="0" w:color="auto"/>
        <w:bottom w:val="none" w:sz="0" w:space="0" w:color="auto"/>
        <w:right w:val="none" w:sz="0" w:space="0" w:color="auto"/>
      </w:divBdr>
    </w:div>
    <w:div w:id="155453443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
    <w:div w:id="1844279223">
      <w:bodyDiv w:val="1"/>
      <w:marLeft w:val="0"/>
      <w:marRight w:val="0"/>
      <w:marTop w:val="0"/>
      <w:marBottom w:val="0"/>
      <w:divBdr>
        <w:top w:val="none" w:sz="0" w:space="0" w:color="auto"/>
        <w:left w:val="none" w:sz="0" w:space="0" w:color="auto"/>
        <w:bottom w:val="none" w:sz="0" w:space="0" w:color="auto"/>
        <w:right w:val="none" w:sz="0" w:space="0" w:color="auto"/>
      </w:divBdr>
      <w:divsChild>
        <w:div w:id="342824270">
          <w:marLeft w:val="0"/>
          <w:marRight w:val="0"/>
          <w:marTop w:val="0"/>
          <w:marBottom w:val="0"/>
          <w:divBdr>
            <w:top w:val="none" w:sz="0" w:space="0" w:color="auto"/>
            <w:left w:val="none" w:sz="0" w:space="0" w:color="auto"/>
            <w:bottom w:val="none" w:sz="0" w:space="0" w:color="auto"/>
            <w:right w:val="none" w:sz="0" w:space="0" w:color="auto"/>
          </w:divBdr>
        </w:div>
        <w:div w:id="542134986">
          <w:marLeft w:val="0"/>
          <w:marRight w:val="0"/>
          <w:marTop w:val="0"/>
          <w:marBottom w:val="0"/>
          <w:divBdr>
            <w:top w:val="none" w:sz="0" w:space="0" w:color="auto"/>
            <w:left w:val="none" w:sz="0" w:space="0" w:color="auto"/>
            <w:bottom w:val="none" w:sz="0" w:space="0" w:color="auto"/>
            <w:right w:val="none" w:sz="0" w:space="0" w:color="auto"/>
          </w:divBdr>
        </w:div>
        <w:div w:id="661617153">
          <w:marLeft w:val="0"/>
          <w:marRight w:val="0"/>
          <w:marTop w:val="0"/>
          <w:marBottom w:val="0"/>
          <w:divBdr>
            <w:top w:val="none" w:sz="0" w:space="0" w:color="auto"/>
            <w:left w:val="none" w:sz="0" w:space="0" w:color="auto"/>
            <w:bottom w:val="none" w:sz="0" w:space="0" w:color="auto"/>
            <w:right w:val="none" w:sz="0" w:space="0" w:color="auto"/>
          </w:divBdr>
        </w:div>
        <w:div w:id="887716488">
          <w:marLeft w:val="0"/>
          <w:marRight w:val="0"/>
          <w:marTop w:val="0"/>
          <w:marBottom w:val="0"/>
          <w:divBdr>
            <w:top w:val="none" w:sz="0" w:space="0" w:color="auto"/>
            <w:left w:val="none" w:sz="0" w:space="0" w:color="auto"/>
            <w:bottom w:val="none" w:sz="0" w:space="0" w:color="auto"/>
            <w:right w:val="none" w:sz="0" w:space="0" w:color="auto"/>
          </w:divBdr>
        </w:div>
        <w:div w:id="903415882">
          <w:marLeft w:val="0"/>
          <w:marRight w:val="0"/>
          <w:marTop w:val="0"/>
          <w:marBottom w:val="0"/>
          <w:divBdr>
            <w:top w:val="none" w:sz="0" w:space="0" w:color="auto"/>
            <w:left w:val="none" w:sz="0" w:space="0" w:color="auto"/>
            <w:bottom w:val="none" w:sz="0" w:space="0" w:color="auto"/>
            <w:right w:val="none" w:sz="0" w:space="0" w:color="auto"/>
          </w:divBdr>
        </w:div>
        <w:div w:id="946036510">
          <w:marLeft w:val="0"/>
          <w:marRight w:val="0"/>
          <w:marTop w:val="0"/>
          <w:marBottom w:val="0"/>
          <w:divBdr>
            <w:top w:val="none" w:sz="0" w:space="0" w:color="auto"/>
            <w:left w:val="none" w:sz="0" w:space="0" w:color="auto"/>
            <w:bottom w:val="none" w:sz="0" w:space="0" w:color="auto"/>
            <w:right w:val="none" w:sz="0" w:space="0" w:color="auto"/>
          </w:divBdr>
        </w:div>
        <w:div w:id="1845784081">
          <w:marLeft w:val="0"/>
          <w:marRight w:val="0"/>
          <w:marTop w:val="0"/>
          <w:marBottom w:val="0"/>
          <w:divBdr>
            <w:top w:val="none" w:sz="0" w:space="0" w:color="auto"/>
            <w:left w:val="none" w:sz="0" w:space="0" w:color="auto"/>
            <w:bottom w:val="none" w:sz="0" w:space="0" w:color="auto"/>
            <w:right w:val="none" w:sz="0" w:space="0" w:color="auto"/>
          </w:divBdr>
        </w:div>
      </w:divsChild>
    </w:div>
    <w:div w:id="1913198044">
      <w:bodyDiv w:val="1"/>
      <w:marLeft w:val="0"/>
      <w:marRight w:val="0"/>
      <w:marTop w:val="0"/>
      <w:marBottom w:val="0"/>
      <w:divBdr>
        <w:top w:val="none" w:sz="0" w:space="0" w:color="auto"/>
        <w:left w:val="none" w:sz="0" w:space="0" w:color="auto"/>
        <w:bottom w:val="none" w:sz="0" w:space="0" w:color="auto"/>
        <w:right w:val="none" w:sz="0" w:space="0" w:color="auto"/>
      </w:divBdr>
    </w:div>
    <w:div w:id="2033845432">
      <w:bodyDiv w:val="1"/>
      <w:marLeft w:val="0"/>
      <w:marRight w:val="0"/>
      <w:marTop w:val="0"/>
      <w:marBottom w:val="0"/>
      <w:divBdr>
        <w:top w:val="none" w:sz="0" w:space="0" w:color="auto"/>
        <w:left w:val="none" w:sz="0" w:space="0" w:color="auto"/>
        <w:bottom w:val="none" w:sz="0" w:space="0" w:color="auto"/>
        <w:right w:val="none" w:sz="0" w:space="0" w:color="auto"/>
      </w:divBdr>
    </w:div>
    <w:div w:id="209080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jpeg" Id="rId18" /><Relationship Type="http://schemas.openxmlformats.org/officeDocument/2006/relationships/image" Target="media/image32.jpeg" Id="rId39" /><Relationship Type="http://schemas.openxmlformats.org/officeDocument/2006/relationships/image" Target="media/image27.jpeg" Id="rId34" /><Relationship Type="http://schemas.openxmlformats.org/officeDocument/2006/relationships/image" Target="media/image40.emf" Id="rId47" /><Relationship Type="http://schemas.openxmlformats.org/officeDocument/2006/relationships/footer" Target="footer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4.jpeg" Id="rId11" /><Relationship Type="http://schemas.openxmlformats.org/officeDocument/2006/relationships/image" Target="media/image17.jpeg" Id="rId24" /><Relationship Type="http://schemas.openxmlformats.org/officeDocument/2006/relationships/image" Target="media/image25.jpeg" Id="rId32" /><Relationship Type="http://schemas.openxmlformats.org/officeDocument/2006/relationships/image" Target="media/image30.jpe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16.jpeg" Id="rId23" /><Relationship Type="http://schemas.openxmlformats.org/officeDocument/2006/relationships/image" Target="media/image29.emf" Id="rId36" /><Relationship Type="http://schemas.openxmlformats.org/officeDocument/2006/relationships/header" Target="header1.xml" Id="rId49"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28.jpeg" Id="rId35" /><Relationship Type="http://schemas.openxmlformats.org/officeDocument/2006/relationships/image" Target="media/image41.emf" Id="rId48" /><Relationship Type="http://schemas.openxmlformats.org/officeDocument/2006/relationships/image" Target="media/image1.jpeg"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10.emf" Id="rId17" /><Relationship Type="http://schemas.openxmlformats.org/officeDocument/2006/relationships/image" Target="media/image26.png" Id="rId33" /><Relationship Type="http://schemas.openxmlformats.org/officeDocument/2006/relationships/image" Target="media/image31.jpeg" Id="rId38"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glossaryDocument" Target="/word/glossary/document.xml" Id="Ra0eb017175454e85" /><Relationship Type="http://schemas.openxmlformats.org/officeDocument/2006/relationships/image" Target="/media/image20.jpg" Id="Rbd3e005300fe4358" /><Relationship Type="http://schemas.openxmlformats.org/officeDocument/2006/relationships/image" Target="/media/image21.jpg" Id="R7c4b7ec333e943af" /><Relationship Type="http://schemas.openxmlformats.org/officeDocument/2006/relationships/image" Target="/media/image22.jpg" Id="Re2cc23bfbea2405d" /><Relationship Type="http://schemas.openxmlformats.org/officeDocument/2006/relationships/image" Target="/media/image23.jpg" Id="R0dba4ede232f48d0" /><Relationship Type="http://schemas.openxmlformats.org/officeDocument/2006/relationships/image" Target="/media/image24.jpg" Id="R535c52f43c17496d" /><Relationship Type="http://schemas.openxmlformats.org/officeDocument/2006/relationships/image" Target="/media/image25.jpg" Id="Ra420a943925747b3" /><Relationship Type="http://schemas.openxmlformats.org/officeDocument/2006/relationships/image" Target="/media/image26.jpg" Id="R2ba648418f37400d" /><Relationship Type="http://schemas.openxmlformats.org/officeDocument/2006/relationships/image" Target="/media/image27.jpg" Id="Rd6dc3061b5a74396" /><Relationship Type="http://schemas.openxmlformats.org/officeDocument/2006/relationships/image" Target="/media/image28.jpg" Id="R8f83cea7c9434c96" /><Relationship Type="http://schemas.openxmlformats.org/officeDocument/2006/relationships/image" Target="/media/image29.jpg" Id="R0d5694d655a54502" /><Relationship Type="http://schemas.openxmlformats.org/officeDocument/2006/relationships/image" Target="/media/image2a.jpg" Id="R336a8ca3d54744e1" /><Relationship Type="http://schemas.openxmlformats.org/officeDocument/2006/relationships/image" Target="/media/image2b.jpg" Id="Rc4047b56649646dd" /><Relationship Type="http://schemas.openxmlformats.org/officeDocument/2006/relationships/image" Target="/media/image8.png" Id="R442be51c6ef3482b" /><Relationship Type="http://schemas.openxmlformats.org/officeDocument/2006/relationships/image" Target="/media/image9.png" Id="R5f03d23253df43f5" /><Relationship Type="http://schemas.openxmlformats.org/officeDocument/2006/relationships/image" Target="/media/imagea.png" Id="Rcb4d992138cd46b3" /><Relationship Type="http://schemas.openxmlformats.org/officeDocument/2006/relationships/image" Target="/media/image2c.jpg" Id="R783548a40cd44b63" /><Relationship Type="http://schemas.openxmlformats.org/officeDocument/2006/relationships/image" Target="/media/image2d.jpg" Id="Rdd62bf676ba1446a" /><Relationship Type="http://schemas.openxmlformats.org/officeDocument/2006/relationships/image" Target="/media/image2e.jpg" Id="Rc38138a92c9547f3" /></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a6e3199-3fea-4751-9f4c-5720f1f5e4cf}"/>
      </w:docPartPr>
      <w:docPartBody>
        <w:p w14:paraId="76DFD5F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EBA94-E355-4B81-BCA4-FB0D19AA483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pedro toc</dc:creator>
  <keywords/>
  <dc:description/>
  <lastModifiedBy>Nancy Taracena</lastModifiedBy>
  <revision>7</revision>
  <lastPrinted>2021-05-12T20:52:00.0000000Z</lastPrinted>
  <dcterms:created xsi:type="dcterms:W3CDTF">2021-05-13T21:17:00.0000000Z</dcterms:created>
  <dcterms:modified xsi:type="dcterms:W3CDTF">2021-06-15T20:35:05.3391193Z</dcterms:modified>
</coreProperties>
</file>